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67A9" w14:textId="77777777" w:rsidR="00FB4811" w:rsidRDefault="00B31CBF">
      <w:pPr>
        <w:pStyle w:val="Titel-berschrift"/>
        <w:jc w:val="center"/>
        <w:outlineLvl w:val="0"/>
        <w:rPr>
          <w:rFonts w:cs="Arial"/>
          <w:sz w:val="22"/>
          <w:szCs w:val="22"/>
        </w:rPr>
      </w:pPr>
      <w:r>
        <w:rPr>
          <w:rFonts w:cs="Arial"/>
          <w:sz w:val="22"/>
          <w:szCs w:val="22"/>
        </w:rPr>
        <w:t xml:space="preserve">Regelmäßige Informationen zu den in Artikel 8 Absätze 1, 2 und 2a der Verordnung </w:t>
      </w:r>
      <w:r>
        <w:rPr>
          <w:rFonts w:cs="Arial"/>
          <w:sz w:val="22"/>
          <w:szCs w:val="22"/>
        </w:rPr>
        <w:br/>
        <w:t>(EU) 2019/2088 und Artikel 6 Absatz 1 der Verordnung (EU) 2020/852 genannten Finanzprodukten</w:t>
      </w:r>
    </w:p>
    <w:p w14:paraId="6939692D" w14:textId="77777777" w:rsidR="00FB4811" w:rsidRDefault="00FB4811">
      <w:pPr>
        <w:pStyle w:val="Inhaltsverzeichnis"/>
        <w:rPr>
          <w:rFonts w:cs="Arial"/>
          <w:sz w:val="18"/>
          <w:szCs w:val="18"/>
        </w:rPr>
        <w:sectPr w:rsidR="00FB4811">
          <w:headerReference w:type="default" r:id="rId8"/>
          <w:pgSz w:w="11907" w:h="16839" w:code="64"/>
          <w:pgMar w:top="1984" w:right="1020" w:bottom="964" w:left="964" w:header="737" w:footer="964" w:gutter="0"/>
          <w:cols w:space="284"/>
          <w:docGrid w:linePitch="204"/>
        </w:sectPr>
      </w:pPr>
    </w:p>
    <w:p w14:paraId="5A84D8AF" w14:textId="77777777" w:rsidR="00FB4811" w:rsidRDefault="00FB4811">
      <w:pPr>
        <w:pStyle w:val="Inhaltsverzeichnis"/>
        <w:rPr>
          <w:rFonts w:cs="Arial"/>
          <w:sz w:val="18"/>
          <w:szCs w:val="18"/>
        </w:rPr>
        <w:sectPr w:rsidR="00FB4811">
          <w:headerReference w:type="default" r:id="rId9"/>
          <w:type w:val="continuous"/>
          <w:pgSz w:w="11907" w:h="16839" w:code="64"/>
          <w:pgMar w:top="1984" w:right="1020" w:bottom="964" w:left="964" w:header="737" w:footer="964" w:gutter="0"/>
          <w:cols w:space="284"/>
          <w:docGrid w:linePitch="204"/>
        </w:sectPr>
      </w:pPr>
    </w:p>
    <w:tbl>
      <w:tblPr>
        <w:tblStyle w:val="Tabellenraster"/>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573"/>
        <w:gridCol w:w="8220"/>
      </w:tblGrid>
      <w:tr w:rsidR="00FB4811" w14:paraId="5E03AF6A" w14:textId="77777777" w:rsidTr="00EA5280">
        <w:tc>
          <w:tcPr>
            <w:tcW w:w="1702" w:type="dxa"/>
            <w:vMerge w:val="restart"/>
            <w:shd w:val="pct5" w:color="auto" w:fill="auto"/>
          </w:tcPr>
          <w:p w14:paraId="35799CA6" w14:textId="77777777" w:rsidR="00FB4811" w:rsidRDefault="00B31CBF">
            <w:pPr>
              <w:rPr>
                <w:rFonts w:cs="Arial"/>
                <w:szCs w:val="15"/>
              </w:rPr>
            </w:pPr>
            <w:r>
              <w:rPr>
                <w:rFonts w:cs="Arial"/>
                <w:szCs w:val="15"/>
              </w:rPr>
              <w:t xml:space="preserve">Eine </w:t>
            </w:r>
            <w:r>
              <w:rPr>
                <w:rFonts w:cs="Arial"/>
                <w:b/>
                <w:szCs w:val="15"/>
              </w:rPr>
              <w:t>nachhaltige</w:t>
            </w:r>
            <w:r>
              <w:rPr>
                <w:rFonts w:cs="Arial"/>
                <w:szCs w:val="15"/>
              </w:rPr>
              <w:t xml:space="preserve"> </w:t>
            </w:r>
            <w:r>
              <w:rPr>
                <w:rFonts w:cs="Arial"/>
                <w:b/>
                <w:szCs w:val="15"/>
              </w:rPr>
              <w:t>Investition</w:t>
            </w:r>
            <w:r>
              <w:rPr>
                <w:rFonts w:cs="Arial"/>
                <w:szCs w:val="15"/>
              </w:rPr>
              <w:t xml:space="preserve"> ist eine Investition in eine Wirtschaftstätigkeit, die zur Erreichung eines Umweltziels oder sozialen Ziels beiträgt, vorausgesetzt, dass diese Investition keine Umweltziele oder sozialen Ziele erheblich beeinträchtigt und die Unternehmen, in die investiert wird, Verfahrensweisen einer guten Unternehmens-führung anwenden.</w:t>
            </w:r>
          </w:p>
          <w:p w14:paraId="157B5570" w14:textId="77777777" w:rsidR="00FB4811" w:rsidRDefault="00FB4811">
            <w:pPr>
              <w:spacing w:after="240"/>
              <w:rPr>
                <w:rFonts w:cs="Arial"/>
                <w:szCs w:val="15"/>
              </w:rPr>
            </w:pPr>
          </w:p>
          <w:p w14:paraId="378967F4" w14:textId="77777777" w:rsidR="00FB4811" w:rsidRDefault="00B31CBF">
            <w:pPr>
              <w:rPr>
                <w:rFonts w:cs="Arial"/>
                <w:szCs w:val="15"/>
              </w:rPr>
            </w:pPr>
            <w:r>
              <w:rPr>
                <w:rFonts w:cs="Arial"/>
                <w:szCs w:val="15"/>
              </w:rPr>
              <w:t xml:space="preserve">Die </w:t>
            </w:r>
            <w:r>
              <w:rPr>
                <w:rFonts w:cs="Arial"/>
                <w:b/>
                <w:szCs w:val="15"/>
              </w:rPr>
              <w:t xml:space="preserve">EU-Taxonomie </w:t>
            </w:r>
            <w:r>
              <w:rPr>
                <w:rFonts w:cs="Arial"/>
                <w:szCs w:val="15"/>
              </w:rPr>
              <w:t>ist ein Klassifikations</w:t>
            </w:r>
            <w:r>
              <w:rPr>
                <w:rFonts w:cs="Arial"/>
                <w:szCs w:val="15"/>
              </w:rPr>
              <w:softHyphen/>
              <w:t xml:space="preserve">system, das in der Verordnung (EU) 2020/852 festgelegt ist und ein Verzeichnis von </w:t>
            </w:r>
            <w:r>
              <w:rPr>
                <w:rFonts w:cs="Arial"/>
                <w:b/>
                <w:szCs w:val="15"/>
              </w:rPr>
              <w:t xml:space="preserve">ökologisch nachhaltigen Wirtschaftstätig-keiten </w:t>
            </w:r>
            <w:r>
              <w:rPr>
                <w:rFonts w:cs="Arial"/>
                <w:szCs w:val="15"/>
              </w:rPr>
              <w:t>enthält. Diese Verordnung umfasst kein Verzeichnis der sozial nachhaltigen Wirtschaftstätigkeiten. Nachhaltige</w:t>
            </w:r>
          </w:p>
          <w:p w14:paraId="2D65D34F" w14:textId="77777777" w:rsidR="00FB4811" w:rsidRDefault="00B31CBF">
            <w:pPr>
              <w:rPr>
                <w:rFonts w:cs="Arial"/>
                <w:sz w:val="18"/>
                <w:szCs w:val="18"/>
              </w:rPr>
            </w:pPr>
            <w:r>
              <w:rPr>
                <w:rFonts w:cs="Arial"/>
                <w:szCs w:val="15"/>
              </w:rPr>
              <w:t>Investitionen mit einem Umweltziel könnten taxonomiekonform sein oder nicht.</w:t>
            </w:r>
          </w:p>
        </w:tc>
        <w:tc>
          <w:tcPr>
            <w:tcW w:w="572" w:type="dxa"/>
          </w:tcPr>
          <w:p w14:paraId="3668451B" w14:textId="77777777" w:rsidR="00FB4811" w:rsidRDefault="00FB4811">
            <w:pPr>
              <w:spacing w:before="240"/>
              <w:jc w:val="both"/>
              <w:rPr>
                <w:rFonts w:cs="Arial"/>
                <w:b/>
                <w:sz w:val="18"/>
                <w:szCs w:val="18"/>
              </w:rPr>
            </w:pPr>
          </w:p>
        </w:tc>
        <w:tc>
          <w:tcPr>
            <w:tcW w:w="8216" w:type="dxa"/>
            <w:shd w:val="clear" w:color="auto" w:fill="auto"/>
          </w:tcPr>
          <w:p w14:paraId="592FFA9E" w14:textId="3A905FB5" w:rsidR="00FB4811" w:rsidRDefault="00B31CBF">
            <w:pPr>
              <w:tabs>
                <w:tab w:val="left" w:pos="4144"/>
              </w:tabs>
              <w:jc w:val="both"/>
              <w:rPr>
                <w:rFonts w:eastAsia="Tahoma" w:cs="Arial"/>
                <w:color w:val="000000" w:themeColor="text1"/>
                <w:spacing w:val="4"/>
                <w:sz w:val="13"/>
              </w:rPr>
            </w:pPr>
            <w:bookmarkStart w:id="6" w:name="tmSAPNummer"/>
            <w:bookmarkEnd w:id="6"/>
            <w:r>
              <w:rPr>
                <w:rFonts w:eastAsia="Tahoma" w:cs="Arial"/>
                <w:color w:val="000000"/>
                <w:spacing w:val="4"/>
                <w:sz w:val="13"/>
              </w:rPr>
              <w:t xml:space="preserve">Name des </w:t>
            </w:r>
            <w:r>
              <w:rPr>
                <w:rFonts w:eastAsia="Tahoma" w:cs="Arial"/>
                <w:color w:val="000000" w:themeColor="text1"/>
                <w:spacing w:val="4"/>
                <w:sz w:val="13"/>
              </w:rPr>
              <w:t>Produkts: ROK Zukunft - Renditeoptimierte Kapitalanlage Zukunft - FondsID 727 - SAP-Nummer 3469</w:t>
            </w:r>
            <w:r w:rsidR="00BA5789">
              <w:rPr>
                <w:rFonts w:eastAsia="Tahoma" w:cs="Arial"/>
                <w:color w:val="000000" w:themeColor="text1"/>
                <w:spacing w:val="4"/>
                <w:sz w:val="13"/>
              </w:rPr>
              <w:t>9</w:t>
            </w:r>
            <w:r>
              <w:rPr>
                <w:rFonts w:eastAsia="Tahoma" w:cs="Arial"/>
                <w:color w:val="000000" w:themeColor="text1"/>
                <w:spacing w:val="4"/>
                <w:sz w:val="13"/>
              </w:rPr>
              <w:t>1 -</w:t>
            </w:r>
            <w:r>
              <w:rPr>
                <w:rFonts w:eastAsia="Tahoma" w:cs="Arial"/>
                <w:color w:val="000000" w:themeColor="text1"/>
                <w:spacing w:val="4"/>
                <w:sz w:val="13"/>
              </w:rPr>
              <w:tab/>
            </w:r>
            <w:r>
              <w:rPr>
                <w:rFonts w:eastAsia="Tahoma" w:cs="Arial"/>
                <w:color w:val="000000" w:themeColor="text1"/>
                <w:spacing w:val="4"/>
                <w:sz w:val="13"/>
              </w:rPr>
              <w:br/>
              <w:t>Unternehmenskennung (LEI-Code): 529900YVAZLRT7M8RV44</w:t>
            </w:r>
          </w:p>
          <w:p w14:paraId="20AE6920" w14:textId="446644D6" w:rsidR="00FB4811" w:rsidRDefault="00B31CBF">
            <w:pPr>
              <w:tabs>
                <w:tab w:val="left" w:pos="4144"/>
              </w:tabs>
              <w:jc w:val="both"/>
              <w:rPr>
                <w:rFonts w:eastAsia="Tahoma" w:cs="Arial"/>
                <w:color w:val="A8070D"/>
                <w:spacing w:val="4"/>
                <w:sz w:val="13"/>
              </w:rPr>
            </w:pPr>
            <w:r>
              <w:rPr>
                <w:rFonts w:eastAsia="Tahoma" w:cs="Arial"/>
                <w:spacing w:val="4"/>
                <w:sz w:val="13"/>
              </w:rPr>
              <w:t>Stand</w:t>
            </w:r>
            <w:r w:rsidRPr="00C34383">
              <w:rPr>
                <w:rFonts w:eastAsia="Tahoma" w:cs="Arial"/>
                <w:spacing w:val="4"/>
                <w:sz w:val="13"/>
              </w:rPr>
              <w:t>: 31.12.202</w:t>
            </w:r>
            <w:r w:rsidR="00C34383" w:rsidRPr="00C34383">
              <w:rPr>
                <w:rFonts w:eastAsia="Tahoma" w:cs="Arial"/>
                <w:spacing w:val="4"/>
                <w:sz w:val="13"/>
              </w:rPr>
              <w:t>3</w:t>
            </w:r>
          </w:p>
        </w:tc>
      </w:tr>
      <w:tr w:rsidR="00FB4811" w14:paraId="4172C6A5" w14:textId="77777777" w:rsidTr="00EA5280">
        <w:trPr>
          <w:trHeight w:val="1046"/>
        </w:trPr>
        <w:tc>
          <w:tcPr>
            <w:tcW w:w="1702" w:type="dxa"/>
            <w:vMerge/>
            <w:shd w:val="pct5" w:color="auto" w:fill="auto"/>
          </w:tcPr>
          <w:p w14:paraId="4E6D5797" w14:textId="77777777" w:rsidR="00FB4811" w:rsidRDefault="00FB4811">
            <w:pPr>
              <w:rPr>
                <w:rFonts w:cs="Arial"/>
                <w:sz w:val="18"/>
                <w:szCs w:val="18"/>
              </w:rPr>
            </w:pPr>
            <w:bookmarkStart w:id="7" w:name="tmEinschubtext"/>
            <w:bookmarkStart w:id="8" w:name="tmInhalt"/>
            <w:bookmarkEnd w:id="7"/>
            <w:bookmarkEnd w:id="8"/>
          </w:p>
        </w:tc>
        <w:tc>
          <w:tcPr>
            <w:tcW w:w="572" w:type="dxa"/>
          </w:tcPr>
          <w:p w14:paraId="53C60CC7" w14:textId="77777777" w:rsidR="00FB4811" w:rsidRDefault="00FB4811">
            <w:pPr>
              <w:spacing w:before="240"/>
              <w:jc w:val="center"/>
              <w:rPr>
                <w:rFonts w:cs="Arial"/>
                <w:b/>
                <w:bCs/>
                <w:color w:val="00B050"/>
                <w:sz w:val="18"/>
                <w:szCs w:val="18"/>
              </w:rPr>
            </w:pPr>
          </w:p>
        </w:tc>
        <w:tc>
          <w:tcPr>
            <w:tcW w:w="8216" w:type="dxa"/>
            <w:shd w:val="clear" w:color="auto" w:fill="auto"/>
          </w:tcPr>
          <w:p w14:paraId="6FE50EB9" w14:textId="77777777" w:rsidR="00FB4811" w:rsidRDefault="00B31CBF">
            <w:pPr>
              <w:spacing w:before="240"/>
              <w:jc w:val="center"/>
              <w:rPr>
                <w:rFonts w:cs="Arial"/>
                <w:b/>
                <w:i/>
                <w:color w:val="00B050"/>
                <w:sz w:val="26"/>
                <w:szCs w:val="26"/>
              </w:rPr>
            </w:pPr>
            <w:r>
              <w:rPr>
                <w:rFonts w:eastAsia="Arial" w:cs="Arial"/>
                <w:b/>
                <w:color w:val="4CA976"/>
                <w:spacing w:val="6"/>
                <w:sz w:val="29"/>
              </w:rPr>
              <w:t>Ökologische und/oder soziale Merkmale</w:t>
            </w:r>
          </w:p>
        </w:tc>
      </w:tr>
      <w:tr w:rsidR="00FB4811" w14:paraId="0448CDDA" w14:textId="77777777" w:rsidTr="00EA5280">
        <w:tc>
          <w:tcPr>
            <w:tcW w:w="1702" w:type="dxa"/>
            <w:vMerge/>
            <w:shd w:val="pct5" w:color="auto" w:fill="auto"/>
            <w:vAlign w:val="bottom"/>
          </w:tcPr>
          <w:p w14:paraId="6B3B7018" w14:textId="77777777" w:rsidR="00FB4811" w:rsidRDefault="00FB4811">
            <w:pPr>
              <w:rPr>
                <w:rFonts w:cs="Arial"/>
                <w:sz w:val="18"/>
                <w:szCs w:val="18"/>
              </w:rPr>
            </w:pPr>
          </w:p>
        </w:tc>
        <w:tc>
          <w:tcPr>
            <w:tcW w:w="572" w:type="dxa"/>
          </w:tcPr>
          <w:p w14:paraId="624845D9" w14:textId="77777777" w:rsidR="00FB4811" w:rsidRDefault="00FB4811">
            <w:pPr>
              <w:spacing w:after="23" w:line="264" w:lineRule="exact"/>
              <w:ind w:left="108" w:right="360"/>
              <w:textAlignment w:val="baseline"/>
              <w:rPr>
                <w:rFonts w:eastAsia="Calibri" w:cs="Arial"/>
                <w:b/>
                <w:color w:val="000000"/>
                <w:sz w:val="18"/>
                <w:szCs w:val="18"/>
              </w:rPr>
            </w:pPr>
          </w:p>
        </w:tc>
        <w:tc>
          <w:tcPr>
            <w:tcW w:w="8216" w:type="dxa"/>
            <w:shd w:val="clear" w:color="auto" w:fill="auto"/>
          </w:tcPr>
          <w:tbl>
            <w:tblPr>
              <w:tblW w:w="8255" w:type="dxa"/>
              <w:tblLayout w:type="fixed"/>
              <w:tblCellMar>
                <w:left w:w="0" w:type="dxa"/>
                <w:right w:w="0" w:type="dxa"/>
              </w:tblCellMar>
              <w:tblLook w:val="04A0" w:firstRow="1" w:lastRow="0" w:firstColumn="1" w:lastColumn="0" w:noHBand="0" w:noVBand="1"/>
            </w:tblPr>
            <w:tblGrid>
              <w:gridCol w:w="3578"/>
              <w:gridCol w:w="4677"/>
            </w:tblGrid>
            <w:tr w:rsidR="00FB4811" w14:paraId="3A6703AE" w14:textId="77777777">
              <w:trPr>
                <w:trHeight w:hRule="exact" w:val="747"/>
              </w:trPr>
              <w:tc>
                <w:tcPr>
                  <w:tcW w:w="8255" w:type="dxa"/>
                  <w:gridSpan w:val="2"/>
                  <w:tcBorders>
                    <w:top w:val="none" w:sz="0" w:space="0" w:color="020000"/>
                    <w:left w:val="none" w:sz="0" w:space="0" w:color="020000"/>
                    <w:bottom w:val="single" w:sz="5" w:space="0" w:color="000000"/>
                    <w:right w:val="none" w:sz="0" w:space="0" w:color="020000"/>
                  </w:tcBorders>
                  <w:shd w:val="clear" w:color="F6D1AC" w:fill="F6D1AC"/>
                </w:tcPr>
                <w:p w14:paraId="09AC7CDD" w14:textId="77777777" w:rsidR="00FB4811" w:rsidRPr="00713633" w:rsidRDefault="00B31CBF">
                  <w:pPr>
                    <w:spacing w:after="23" w:line="264" w:lineRule="exact"/>
                    <w:ind w:left="108" w:right="360"/>
                    <w:textAlignment w:val="baseline"/>
                    <w:rPr>
                      <w:rFonts w:eastAsia="Calibri" w:cs="Arial"/>
                      <w:i/>
                      <w:sz w:val="18"/>
                      <w:szCs w:val="18"/>
                    </w:rPr>
                  </w:pPr>
                  <w:r w:rsidRPr="00713633">
                    <w:rPr>
                      <w:rFonts w:cs="Arial"/>
                      <w:noProof/>
                      <w:sz w:val="18"/>
                      <w:szCs w:val="18"/>
                    </w:rPr>
                    <w:drawing>
                      <wp:anchor distT="0" distB="0" distL="114300" distR="114300" simplePos="0" relativeHeight="251692032" behindDoc="0" locked="0" layoutInCell="1" allowOverlap="1" wp14:anchorId="5601D202" wp14:editId="1EE26A33">
                        <wp:simplePos x="0" y="0"/>
                        <wp:positionH relativeFrom="column">
                          <wp:posOffset>311785</wp:posOffset>
                        </wp:positionH>
                        <wp:positionV relativeFrom="paragraph">
                          <wp:posOffset>509270</wp:posOffset>
                        </wp:positionV>
                        <wp:extent cx="196850" cy="131086"/>
                        <wp:effectExtent l="0" t="0" r="0" b="254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850" cy="131086"/>
                                </a:xfrm>
                                <a:prstGeom prst="rect">
                                  <a:avLst/>
                                </a:prstGeom>
                              </pic:spPr>
                            </pic:pic>
                          </a:graphicData>
                        </a:graphic>
                        <wp14:sizeRelH relativeFrom="margin">
                          <wp14:pctWidth>0</wp14:pctWidth>
                        </wp14:sizeRelH>
                        <wp14:sizeRelV relativeFrom="margin">
                          <wp14:pctHeight>0</wp14:pctHeight>
                        </wp14:sizeRelV>
                      </wp:anchor>
                    </w:drawing>
                  </w:r>
                  <w:r w:rsidRPr="00713633">
                    <w:rPr>
                      <w:rFonts w:eastAsia="Arial" w:cs="Arial"/>
                      <w:b/>
                      <w:sz w:val="17"/>
                    </w:rPr>
                    <w:t xml:space="preserve"> Wurden mit diesem Finanzprodukt nachhaltige Investitionen angestrebt?</w:t>
                  </w:r>
                  <w:r w:rsidRPr="00713633">
                    <w:rPr>
                      <w:rFonts w:eastAsia="Arial" w:cs="Arial"/>
                      <w:i/>
                      <w:sz w:val="13"/>
                    </w:rPr>
                    <w:t xml:space="preserve"> </w:t>
                  </w:r>
                </w:p>
                <w:p w14:paraId="393ED465" w14:textId="77777777" w:rsidR="00FB4811" w:rsidRDefault="00FB4811">
                  <w:pPr>
                    <w:spacing w:after="23" w:line="264" w:lineRule="exact"/>
                    <w:ind w:left="108" w:right="360"/>
                    <w:textAlignment w:val="baseline"/>
                    <w:rPr>
                      <w:rFonts w:eastAsia="Calibri" w:cs="Arial"/>
                      <w:b/>
                      <w:color w:val="000000"/>
                      <w:sz w:val="18"/>
                      <w:szCs w:val="18"/>
                    </w:rPr>
                  </w:pPr>
                </w:p>
              </w:tc>
            </w:tr>
            <w:tr w:rsidR="00FB4811" w14:paraId="4D37A6C6" w14:textId="77777777">
              <w:trPr>
                <w:trHeight w:hRule="exact" w:val="297"/>
              </w:trPr>
              <w:tc>
                <w:tcPr>
                  <w:tcW w:w="3578" w:type="dxa"/>
                  <w:tcBorders>
                    <w:top w:val="single" w:sz="5" w:space="0" w:color="000000"/>
                    <w:left w:val="none" w:sz="0" w:space="0" w:color="020000"/>
                    <w:bottom w:val="single" w:sz="5" w:space="0" w:color="000000"/>
                    <w:right w:val="single" w:sz="5" w:space="0" w:color="000000"/>
                  </w:tcBorders>
                  <w:shd w:val="clear" w:color="F6D1AC" w:fill="F6D1AC"/>
                  <w:vAlign w:val="center"/>
                </w:tcPr>
                <w:p w14:paraId="1D04EDA6" w14:textId="77777777" w:rsidR="00FB4811" w:rsidRDefault="00BA5789">
                  <w:pPr>
                    <w:pStyle w:val="Listenabsatz"/>
                    <w:spacing w:after="24" w:line="245" w:lineRule="exact"/>
                    <w:ind w:right="1980"/>
                    <w:jc w:val="center"/>
                    <w:textAlignment w:val="baseline"/>
                    <w:rPr>
                      <w:rFonts w:eastAsia="Calibri" w:cs="Arial"/>
                      <w:b/>
                      <w:color w:val="000000"/>
                      <w:sz w:val="18"/>
                      <w:szCs w:val="18"/>
                      <w:lang w:val="en-US"/>
                    </w:rPr>
                  </w:pPr>
                  <w:sdt>
                    <w:sdtPr>
                      <w:rPr>
                        <w:rFonts w:eastAsia="Calibri" w:cs="Arial"/>
                        <w:b/>
                        <w:color w:val="000000"/>
                        <w:sz w:val="18"/>
                        <w:szCs w:val="18"/>
                        <w:lang w:val="en-US"/>
                      </w:rPr>
                      <w:id w:val="-1082676047"/>
                      <w15:color w:val="000000"/>
                      <w14:checkbox>
                        <w14:checked w14:val="0"/>
                        <w14:checkedState w14:val="2612" w14:font="MS Gothic"/>
                        <w14:uncheckedState w14:val="2610" w14:font="MS Gothic"/>
                      </w14:checkbox>
                    </w:sdtPr>
                    <w:sdtEndPr/>
                    <w:sdtContent>
                      <w:r w:rsidR="00B31CBF">
                        <w:rPr>
                          <w:rFonts w:ascii="Segoe UI Symbol" w:eastAsia="MS Gothic" w:hAnsi="Segoe UI Symbol" w:cs="Segoe UI Symbol"/>
                          <w:b/>
                          <w:color w:val="000000"/>
                          <w:sz w:val="18"/>
                          <w:szCs w:val="18"/>
                          <w:lang w:val="en-US"/>
                        </w:rPr>
                        <w:t>☐</w:t>
                      </w:r>
                    </w:sdtContent>
                  </w:sdt>
                  <w:r w:rsidR="00B31CBF">
                    <w:rPr>
                      <w:rFonts w:eastAsia="Calibri" w:cs="Arial"/>
                      <w:b/>
                      <w:color w:val="000000"/>
                      <w:sz w:val="18"/>
                      <w:szCs w:val="18"/>
                      <w:lang w:val="en-US"/>
                    </w:rPr>
                    <w:t xml:space="preserve"> </w:t>
                  </w:r>
                  <w:r w:rsidR="00B31CBF">
                    <w:rPr>
                      <w:rFonts w:eastAsia="Calibri" w:cs="Arial"/>
                      <w:b/>
                      <w:color w:val="000000"/>
                      <w:sz w:val="18"/>
                      <w:szCs w:val="18"/>
                      <w:lang w:val="en-US"/>
                    </w:rPr>
                    <w:tab/>
                    <w:t>Ja</w:t>
                  </w:r>
                </w:p>
              </w:tc>
              <w:tc>
                <w:tcPr>
                  <w:tcW w:w="4677" w:type="dxa"/>
                  <w:tcBorders>
                    <w:top w:val="single" w:sz="5" w:space="0" w:color="000000"/>
                    <w:left w:val="single" w:sz="5" w:space="0" w:color="000000"/>
                    <w:bottom w:val="single" w:sz="5" w:space="0" w:color="000000"/>
                    <w:right w:val="none" w:sz="0" w:space="0" w:color="020000"/>
                  </w:tcBorders>
                  <w:shd w:val="clear" w:color="F6D1AC" w:fill="F6D1AC"/>
                  <w:vAlign w:val="center"/>
                </w:tcPr>
                <w:p w14:paraId="611DBF10" w14:textId="77777777" w:rsidR="00FB4811" w:rsidRDefault="00B31CBF">
                  <w:pPr>
                    <w:spacing w:after="24" w:line="245" w:lineRule="exact"/>
                    <w:ind w:right="2447"/>
                    <w:jc w:val="center"/>
                    <w:textAlignment w:val="baseline"/>
                    <w:rPr>
                      <w:rFonts w:eastAsia="Calibri" w:cs="Arial"/>
                      <w:b/>
                      <w:color w:val="000000"/>
                      <w:sz w:val="18"/>
                      <w:szCs w:val="18"/>
                      <w:lang w:val="en-US"/>
                    </w:rPr>
                  </w:pPr>
                  <w:r>
                    <w:rPr>
                      <w:rFonts w:cs="Arial"/>
                      <w:noProof/>
                      <w:sz w:val="18"/>
                      <w:szCs w:val="18"/>
                    </w:rPr>
                    <w:drawing>
                      <wp:anchor distT="0" distB="0" distL="114300" distR="114300" simplePos="0" relativeHeight="251693056" behindDoc="0" locked="0" layoutInCell="1" allowOverlap="1" wp14:anchorId="6F10E756" wp14:editId="7687D303">
                        <wp:simplePos x="0" y="0"/>
                        <wp:positionH relativeFrom="column">
                          <wp:posOffset>38735</wp:posOffset>
                        </wp:positionH>
                        <wp:positionV relativeFrom="paragraph">
                          <wp:posOffset>19685</wp:posOffset>
                        </wp:positionV>
                        <wp:extent cx="184150" cy="99060"/>
                        <wp:effectExtent l="0" t="0" r="635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50" cy="9906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Arial"/>
                      <w:b/>
                      <w:color w:val="000000"/>
                      <w:sz w:val="18"/>
                      <w:szCs w:val="18"/>
                      <w:lang w:val="en-US"/>
                    </w:rPr>
                    <w:tab/>
                  </w:r>
                  <w:sdt>
                    <w:sdtPr>
                      <w:rPr>
                        <w:rFonts w:eastAsia="Calibri" w:cs="Arial"/>
                        <w:b/>
                        <w:color w:val="000000"/>
                        <w:sz w:val="18"/>
                        <w:szCs w:val="18"/>
                        <w:lang w:val="en-US"/>
                      </w:rPr>
                      <w:id w:val="-672328510"/>
                      <w14:checkbox>
                        <w14:checked w14:val="1"/>
                        <w14:checkedState w14:val="2612" w14:font="MS Gothic"/>
                        <w14:uncheckedState w14:val="2610" w14:font="MS Gothic"/>
                      </w14:checkbox>
                    </w:sdtPr>
                    <w:sdtEndPr/>
                    <w:sdtContent>
                      <w:r>
                        <w:rPr>
                          <w:rFonts w:ascii="Segoe UI Symbol" w:eastAsia="MS Gothic" w:hAnsi="Segoe UI Symbol" w:cs="Segoe UI Symbol"/>
                          <w:b/>
                          <w:color w:val="000000"/>
                          <w:sz w:val="18"/>
                          <w:szCs w:val="18"/>
                          <w:lang w:val="en-US"/>
                        </w:rPr>
                        <w:t>☒</w:t>
                      </w:r>
                    </w:sdtContent>
                  </w:sdt>
                  <w:r>
                    <w:rPr>
                      <w:rFonts w:eastAsia="Calibri" w:cs="Arial"/>
                      <w:b/>
                      <w:color w:val="000000"/>
                      <w:sz w:val="18"/>
                      <w:szCs w:val="18"/>
                      <w:lang w:val="en-US"/>
                    </w:rPr>
                    <w:tab/>
                    <w:t>Nein</w:t>
                  </w:r>
                </w:p>
              </w:tc>
            </w:tr>
            <w:tr w:rsidR="00FB4811" w14:paraId="6EF85E71" w14:textId="77777777">
              <w:trPr>
                <w:trHeight w:val="5221"/>
              </w:trPr>
              <w:tc>
                <w:tcPr>
                  <w:tcW w:w="3578" w:type="dxa"/>
                  <w:tcBorders>
                    <w:top w:val="none" w:sz="0" w:space="0" w:color="020000"/>
                    <w:left w:val="none" w:sz="0" w:space="0" w:color="020000"/>
                    <w:right w:val="single" w:sz="5" w:space="0" w:color="000000"/>
                  </w:tcBorders>
                  <w:shd w:val="clear" w:color="F9E8D4" w:fill="F9E8D4"/>
                </w:tcPr>
                <w:p w14:paraId="6B05CB39" w14:textId="77777777" w:rsidR="00FB4811" w:rsidRDefault="00BA5789">
                  <w:pPr>
                    <w:spacing w:before="120"/>
                    <w:ind w:left="312"/>
                    <w:textAlignment w:val="baseline"/>
                    <w:rPr>
                      <w:rFonts w:eastAsia="Calibri" w:cs="Arial"/>
                      <w:color w:val="585858"/>
                      <w:sz w:val="18"/>
                      <w:szCs w:val="18"/>
                    </w:rPr>
                  </w:pPr>
                  <w:sdt>
                    <w:sdtPr>
                      <w:rPr>
                        <w:rFonts w:eastAsia="Calibri" w:cs="Arial"/>
                        <w:color w:val="585858"/>
                        <w:sz w:val="18"/>
                        <w:szCs w:val="18"/>
                      </w:rPr>
                      <w:id w:val="-1403975058"/>
                      <w14:checkbox>
                        <w14:checked w14:val="0"/>
                        <w14:checkedState w14:val="2612" w14:font="MS Gothic"/>
                        <w14:uncheckedState w14:val="2610" w14:font="MS Gothic"/>
                      </w14:checkbox>
                    </w:sdtPr>
                    <w:sdtEndPr/>
                    <w:sdtContent>
                      <w:r w:rsidR="00B31CBF">
                        <w:rPr>
                          <w:rFonts w:ascii="Segoe UI Symbol" w:eastAsia="MS Gothic" w:hAnsi="Segoe UI Symbol" w:cs="Segoe UI Symbol"/>
                          <w:color w:val="585858"/>
                          <w:sz w:val="18"/>
                          <w:szCs w:val="18"/>
                        </w:rPr>
                        <w:t>☐</w:t>
                      </w:r>
                    </w:sdtContent>
                  </w:sdt>
                  <w:r w:rsidR="00B31CBF">
                    <w:rPr>
                      <w:rFonts w:eastAsia="Calibri" w:cs="Arial"/>
                      <w:color w:val="585858"/>
                      <w:sz w:val="18"/>
                      <w:szCs w:val="18"/>
                    </w:rPr>
                    <w:tab/>
                  </w:r>
                  <w:r w:rsidR="00B31CBF">
                    <w:rPr>
                      <w:rFonts w:eastAsia="Arial" w:cs="Arial"/>
                      <w:color w:val="000000"/>
                      <w:sz w:val="17"/>
                    </w:rPr>
                    <w:t xml:space="preserve">Es wurden damit </w:t>
                  </w:r>
                  <w:r w:rsidR="00B31CBF">
                    <w:rPr>
                      <w:rFonts w:eastAsia="Arial" w:cs="Arial"/>
                      <w:b/>
                      <w:color w:val="000000"/>
                      <w:sz w:val="17"/>
                    </w:rPr>
                    <w:t xml:space="preserve">nachhaltige Investitionen mit einem Umweltziel </w:t>
                  </w:r>
                  <w:r w:rsidR="00B31CBF">
                    <w:rPr>
                      <w:rFonts w:eastAsia="Arial" w:cs="Arial"/>
                      <w:color w:val="000000"/>
                      <w:sz w:val="17"/>
                    </w:rPr>
                    <w:t xml:space="preserve">getätigt: </w:t>
                  </w:r>
                  <w:r w:rsidR="00B31CBF">
                    <w:rPr>
                      <w:rFonts w:cs="Arial"/>
                      <w:color w:val="000000"/>
                      <w:sz w:val="19"/>
                    </w:rPr>
                    <w:t>_</w:t>
                  </w:r>
                  <w:r w:rsidR="00B31CBF">
                    <w:rPr>
                      <w:rFonts w:eastAsia="Arial" w:cs="Arial"/>
                      <w:color w:val="000000"/>
                      <w:sz w:val="17"/>
                    </w:rPr>
                    <w:t>%</w:t>
                  </w:r>
                </w:p>
                <w:p w14:paraId="58524CFB" w14:textId="77777777" w:rsidR="00FB4811" w:rsidRDefault="00FB4811">
                  <w:pPr>
                    <w:ind w:left="573"/>
                    <w:textAlignment w:val="baseline"/>
                    <w:rPr>
                      <w:rFonts w:eastAsia="Calibri" w:cs="Arial"/>
                      <w:color w:val="585858"/>
                      <w:sz w:val="18"/>
                      <w:szCs w:val="18"/>
                    </w:rPr>
                  </w:pPr>
                </w:p>
                <w:p w14:paraId="68601C03" w14:textId="77777777" w:rsidR="00FB4811" w:rsidRDefault="00BA5789">
                  <w:pPr>
                    <w:ind w:left="737"/>
                    <w:textAlignment w:val="baseline"/>
                    <w:rPr>
                      <w:rFonts w:eastAsia="Calibri" w:cs="Arial"/>
                      <w:color w:val="585858"/>
                      <w:sz w:val="18"/>
                      <w:szCs w:val="18"/>
                    </w:rPr>
                  </w:pPr>
                  <w:sdt>
                    <w:sdtPr>
                      <w:rPr>
                        <w:rFonts w:eastAsia="Calibri" w:cs="Arial"/>
                        <w:color w:val="585858"/>
                        <w:sz w:val="18"/>
                        <w:szCs w:val="18"/>
                      </w:rPr>
                      <w:id w:val="2109456659"/>
                      <w14:checkbox>
                        <w14:checked w14:val="0"/>
                        <w14:checkedState w14:val="2612" w14:font="MS Gothic"/>
                        <w14:uncheckedState w14:val="2610" w14:font="MS Gothic"/>
                      </w14:checkbox>
                    </w:sdtPr>
                    <w:sdtEndPr/>
                    <w:sdtContent>
                      <w:r w:rsidR="00B31CBF">
                        <w:rPr>
                          <w:rFonts w:ascii="Segoe UI Symbol" w:eastAsia="MS Gothic" w:hAnsi="Segoe UI Symbol" w:cs="Segoe UI Symbol"/>
                          <w:color w:val="585858"/>
                          <w:sz w:val="18"/>
                          <w:szCs w:val="18"/>
                        </w:rPr>
                        <w:t>☐</w:t>
                      </w:r>
                    </w:sdtContent>
                  </w:sdt>
                  <w:r w:rsidR="00B31CBF">
                    <w:rPr>
                      <w:rFonts w:eastAsia="Calibri" w:cs="Arial"/>
                      <w:color w:val="585858"/>
                      <w:sz w:val="18"/>
                      <w:szCs w:val="18"/>
                    </w:rPr>
                    <w:tab/>
                    <w:t>in Wirtschaftstätigkeiten, die nach der EU-Taxonomie als ökologisch nachhaltig einzustufen sind</w:t>
                  </w:r>
                </w:p>
                <w:p w14:paraId="4A1F8F55" w14:textId="77777777" w:rsidR="00FB4811" w:rsidRDefault="00FB4811">
                  <w:pPr>
                    <w:spacing w:before="156" w:line="215" w:lineRule="exact"/>
                    <w:ind w:left="648"/>
                    <w:textAlignment w:val="baseline"/>
                    <w:rPr>
                      <w:rFonts w:eastAsia="Calibri" w:cs="Arial"/>
                      <w:color w:val="585858"/>
                      <w:sz w:val="18"/>
                      <w:szCs w:val="18"/>
                    </w:rPr>
                  </w:pPr>
                </w:p>
                <w:p w14:paraId="37CA8D77" w14:textId="77777777" w:rsidR="00FB4811" w:rsidRDefault="00BA5789">
                  <w:pPr>
                    <w:ind w:left="737"/>
                    <w:textAlignment w:val="baseline"/>
                    <w:rPr>
                      <w:rFonts w:eastAsia="Calibri" w:cs="Arial"/>
                      <w:color w:val="585858"/>
                      <w:sz w:val="18"/>
                      <w:szCs w:val="18"/>
                    </w:rPr>
                  </w:pPr>
                  <w:sdt>
                    <w:sdtPr>
                      <w:rPr>
                        <w:rFonts w:eastAsia="Calibri" w:cs="Arial"/>
                        <w:color w:val="585858"/>
                        <w:sz w:val="18"/>
                        <w:szCs w:val="18"/>
                      </w:rPr>
                      <w:id w:val="897794701"/>
                      <w14:checkbox>
                        <w14:checked w14:val="0"/>
                        <w14:checkedState w14:val="2612" w14:font="MS Gothic"/>
                        <w14:uncheckedState w14:val="2610" w14:font="MS Gothic"/>
                      </w14:checkbox>
                    </w:sdtPr>
                    <w:sdtEndPr/>
                    <w:sdtContent>
                      <w:r w:rsidR="00B31CBF">
                        <w:rPr>
                          <w:rFonts w:ascii="Segoe UI Symbol" w:eastAsia="MS Gothic" w:hAnsi="Segoe UI Symbol" w:cs="Segoe UI Symbol"/>
                          <w:color w:val="585858"/>
                          <w:sz w:val="18"/>
                          <w:szCs w:val="18"/>
                        </w:rPr>
                        <w:t>☐</w:t>
                      </w:r>
                    </w:sdtContent>
                  </w:sdt>
                  <w:r w:rsidR="00B31CBF">
                    <w:rPr>
                      <w:rFonts w:eastAsia="Calibri" w:cs="Arial"/>
                      <w:color w:val="585858"/>
                      <w:sz w:val="18"/>
                      <w:szCs w:val="18"/>
                    </w:rPr>
                    <w:tab/>
                    <w:t>in Wirtschaftstätigkeiten, die nach der EU-Taxonomie nicht als ökologisch nachhaltig einzustufen sind e</w:t>
                  </w:r>
                </w:p>
                <w:p w14:paraId="70A1E30C" w14:textId="77777777" w:rsidR="00FB4811" w:rsidRDefault="00FB4811">
                  <w:pPr>
                    <w:ind w:left="573"/>
                    <w:textAlignment w:val="baseline"/>
                    <w:rPr>
                      <w:rFonts w:eastAsia="Calibri" w:cs="Arial"/>
                      <w:color w:val="585858"/>
                      <w:sz w:val="18"/>
                      <w:szCs w:val="18"/>
                    </w:rPr>
                  </w:pPr>
                </w:p>
                <w:p w14:paraId="0D9034E1" w14:textId="77777777" w:rsidR="00FB4811" w:rsidRDefault="00FB4811">
                  <w:pPr>
                    <w:ind w:left="573"/>
                    <w:textAlignment w:val="baseline"/>
                    <w:rPr>
                      <w:rFonts w:eastAsia="Calibri" w:cs="Arial"/>
                      <w:color w:val="585858"/>
                      <w:sz w:val="18"/>
                      <w:szCs w:val="18"/>
                    </w:rPr>
                  </w:pPr>
                </w:p>
                <w:p w14:paraId="70495668" w14:textId="77777777" w:rsidR="00FB4811" w:rsidRDefault="00BA5789">
                  <w:pPr>
                    <w:ind w:left="312"/>
                    <w:textAlignment w:val="baseline"/>
                    <w:rPr>
                      <w:rFonts w:eastAsia="Calibri" w:cs="Arial"/>
                      <w:color w:val="585858"/>
                      <w:sz w:val="18"/>
                      <w:szCs w:val="18"/>
                    </w:rPr>
                  </w:pPr>
                  <w:sdt>
                    <w:sdtPr>
                      <w:rPr>
                        <w:rFonts w:eastAsia="Calibri" w:cs="Arial"/>
                        <w:color w:val="585858"/>
                        <w:sz w:val="18"/>
                        <w:szCs w:val="18"/>
                      </w:rPr>
                      <w:id w:val="1766731067"/>
                      <w14:checkbox>
                        <w14:checked w14:val="0"/>
                        <w14:checkedState w14:val="2612" w14:font="MS Gothic"/>
                        <w14:uncheckedState w14:val="2610" w14:font="MS Gothic"/>
                      </w14:checkbox>
                    </w:sdtPr>
                    <w:sdtEndPr/>
                    <w:sdtContent>
                      <w:r w:rsidR="00B31CBF">
                        <w:rPr>
                          <w:rFonts w:ascii="Segoe UI Symbol" w:eastAsia="MS Gothic" w:hAnsi="Segoe UI Symbol" w:cs="Segoe UI Symbol"/>
                          <w:color w:val="585858"/>
                          <w:sz w:val="18"/>
                          <w:szCs w:val="18"/>
                        </w:rPr>
                        <w:t>☐</w:t>
                      </w:r>
                    </w:sdtContent>
                  </w:sdt>
                  <w:r w:rsidR="00B31CBF">
                    <w:rPr>
                      <w:rFonts w:eastAsia="Calibri" w:cs="Arial"/>
                      <w:color w:val="585858"/>
                      <w:sz w:val="18"/>
                      <w:szCs w:val="18"/>
                    </w:rPr>
                    <w:tab/>
                    <w:t xml:space="preserve">Es wurden damit </w:t>
                  </w:r>
                  <w:r w:rsidR="00B31CBF">
                    <w:rPr>
                      <w:rFonts w:eastAsia="Calibri" w:cs="Arial"/>
                      <w:b/>
                      <w:color w:val="585858"/>
                      <w:sz w:val="18"/>
                      <w:szCs w:val="18"/>
                    </w:rPr>
                    <w:t>nachhaltige Investitionen mit einem sozialen Ziel</w:t>
                  </w:r>
                  <w:r w:rsidR="00B31CBF">
                    <w:rPr>
                      <w:rFonts w:eastAsia="Calibri" w:cs="Arial"/>
                      <w:color w:val="585858"/>
                      <w:sz w:val="18"/>
                      <w:szCs w:val="18"/>
                    </w:rPr>
                    <w:t xml:space="preserve"> getätigt:</w:t>
                  </w:r>
                  <w:r w:rsidR="00B31CBF">
                    <w:rPr>
                      <w:rFonts w:eastAsia="Calibri" w:cs="Arial"/>
                      <w:b/>
                      <w:color w:val="585858"/>
                      <w:sz w:val="18"/>
                      <w:szCs w:val="18"/>
                    </w:rPr>
                    <w:t xml:space="preserve"> </w:t>
                  </w:r>
                  <w:r w:rsidR="00B31CBF">
                    <w:rPr>
                      <w:rFonts w:eastAsia="Calibri" w:cs="Arial"/>
                      <w:color w:val="585858"/>
                      <w:sz w:val="18"/>
                      <w:szCs w:val="18"/>
                    </w:rPr>
                    <w:t>___%</w:t>
                  </w:r>
                </w:p>
              </w:tc>
              <w:tc>
                <w:tcPr>
                  <w:tcW w:w="4677" w:type="dxa"/>
                  <w:tcBorders>
                    <w:top w:val="none" w:sz="0" w:space="0" w:color="020000"/>
                    <w:left w:val="single" w:sz="5" w:space="0" w:color="000000"/>
                    <w:right w:val="none" w:sz="0" w:space="0" w:color="020000"/>
                  </w:tcBorders>
                  <w:shd w:val="clear" w:color="F9E8D4" w:fill="F9E8D4"/>
                </w:tcPr>
                <w:p w14:paraId="4884B63D" w14:textId="77777777" w:rsidR="00FB4811" w:rsidRDefault="00BA5789">
                  <w:pPr>
                    <w:spacing w:before="120"/>
                    <w:ind w:left="278"/>
                    <w:textAlignment w:val="baseline"/>
                    <w:rPr>
                      <w:rFonts w:eastAsia="Calibri" w:cs="Arial"/>
                      <w:b/>
                      <w:color w:val="585858"/>
                      <w:sz w:val="18"/>
                      <w:szCs w:val="18"/>
                    </w:rPr>
                  </w:pPr>
                  <w:sdt>
                    <w:sdtPr>
                      <w:rPr>
                        <w:rFonts w:eastAsia="Calibri" w:cs="Arial"/>
                        <w:color w:val="585858"/>
                        <w:sz w:val="18"/>
                        <w:szCs w:val="18"/>
                      </w:rPr>
                      <w:id w:val="2087176882"/>
                      <w14:checkbox>
                        <w14:checked w14:val="1"/>
                        <w14:checkedState w14:val="2612" w14:font="MS Gothic"/>
                        <w14:uncheckedState w14:val="2610" w14:font="MS Gothic"/>
                      </w14:checkbox>
                    </w:sdtPr>
                    <w:sdtEndPr/>
                    <w:sdtContent>
                      <w:r w:rsidR="00B31CBF">
                        <w:rPr>
                          <w:rFonts w:ascii="MS Gothic" w:eastAsia="MS Gothic" w:hAnsi="MS Gothic" w:cs="Arial" w:hint="eastAsia"/>
                          <w:color w:val="585858"/>
                          <w:sz w:val="18"/>
                          <w:szCs w:val="18"/>
                        </w:rPr>
                        <w:t>☒</w:t>
                      </w:r>
                    </w:sdtContent>
                  </w:sdt>
                  <w:r w:rsidR="00B31CBF">
                    <w:rPr>
                      <w:rFonts w:eastAsia="Calibri" w:cs="Arial"/>
                      <w:color w:val="585858"/>
                      <w:sz w:val="18"/>
                      <w:szCs w:val="18"/>
                    </w:rPr>
                    <w:tab/>
                    <w:t xml:space="preserve">Es wurden damit </w:t>
                  </w:r>
                  <w:r w:rsidR="00B31CBF">
                    <w:rPr>
                      <w:rFonts w:eastAsia="Calibri" w:cs="Arial"/>
                      <w:b/>
                      <w:color w:val="585858"/>
                      <w:sz w:val="18"/>
                      <w:szCs w:val="18"/>
                    </w:rPr>
                    <w:t>ökologische/soziale</w:t>
                  </w:r>
                </w:p>
                <w:p w14:paraId="26500FB6" w14:textId="77777777" w:rsidR="00FB4811" w:rsidRDefault="00B31CBF">
                  <w:pPr>
                    <w:ind w:left="737"/>
                    <w:textAlignment w:val="baseline"/>
                    <w:rPr>
                      <w:rFonts w:eastAsia="Calibri" w:cs="Arial"/>
                      <w:color w:val="585858"/>
                      <w:sz w:val="18"/>
                      <w:szCs w:val="18"/>
                    </w:rPr>
                  </w:pPr>
                  <w:r>
                    <w:rPr>
                      <w:rFonts w:eastAsia="Calibri" w:cs="Arial"/>
                      <w:b/>
                      <w:color w:val="585858"/>
                      <w:sz w:val="18"/>
                      <w:szCs w:val="18"/>
                    </w:rPr>
                    <w:t>Merkmale beworben</w:t>
                  </w:r>
                  <w:r>
                    <w:rPr>
                      <w:rFonts w:eastAsia="Calibri" w:cs="Arial"/>
                      <w:color w:val="585858"/>
                      <w:sz w:val="18"/>
                      <w:szCs w:val="18"/>
                    </w:rPr>
                    <w:t xml:space="preserve"> und</w:t>
                  </w:r>
                </w:p>
                <w:p w14:paraId="687792E1" w14:textId="77777777" w:rsidR="00FB4811" w:rsidRDefault="00B31CBF">
                  <w:pPr>
                    <w:ind w:left="737"/>
                    <w:textAlignment w:val="baseline"/>
                    <w:rPr>
                      <w:rFonts w:eastAsia="Calibri" w:cs="Arial"/>
                      <w:color w:val="585858"/>
                      <w:sz w:val="18"/>
                      <w:szCs w:val="18"/>
                    </w:rPr>
                  </w:pPr>
                  <w:r>
                    <w:rPr>
                      <w:rFonts w:eastAsia="Calibri" w:cs="Arial"/>
                      <w:color w:val="585858"/>
                      <w:sz w:val="18"/>
                      <w:szCs w:val="18"/>
                    </w:rPr>
                    <w:t>obwohl keine nachhaltigen Investitionen</w:t>
                  </w:r>
                </w:p>
                <w:p w14:paraId="4E4AB2CE" w14:textId="17D4E4D6" w:rsidR="00FB4811" w:rsidRDefault="00B31CBF">
                  <w:pPr>
                    <w:ind w:left="737"/>
                    <w:textAlignment w:val="baseline"/>
                    <w:rPr>
                      <w:rFonts w:eastAsia="Calibri" w:cs="Arial"/>
                      <w:color w:val="585858"/>
                      <w:sz w:val="18"/>
                      <w:szCs w:val="18"/>
                    </w:rPr>
                  </w:pPr>
                  <w:r>
                    <w:rPr>
                      <w:rFonts w:eastAsia="Calibri" w:cs="Arial"/>
                      <w:color w:val="585858"/>
                      <w:sz w:val="18"/>
                      <w:szCs w:val="18"/>
                    </w:rPr>
                    <w:t xml:space="preserve">angestrebt wurden, enthielt </w:t>
                  </w:r>
                  <w:r w:rsidR="0077156C">
                    <w:rPr>
                      <w:rFonts w:eastAsia="Calibri" w:cs="Arial"/>
                      <w:color w:val="585858"/>
                      <w:sz w:val="18"/>
                      <w:szCs w:val="18"/>
                    </w:rPr>
                    <w:t>45,33</w:t>
                  </w:r>
                  <w:r>
                    <w:rPr>
                      <w:rFonts w:eastAsia="Calibri" w:cs="Arial"/>
                      <w:color w:val="585858"/>
                      <w:sz w:val="18"/>
                      <w:szCs w:val="18"/>
                    </w:rPr>
                    <w:t>% an nachhaltigen Investitionen</w:t>
                  </w:r>
                </w:p>
                <w:p w14:paraId="22BA6659" w14:textId="77777777" w:rsidR="00FB4811" w:rsidRDefault="00FB4811">
                  <w:pPr>
                    <w:spacing w:after="38"/>
                    <w:ind w:left="532"/>
                    <w:textAlignment w:val="baseline"/>
                    <w:rPr>
                      <w:rFonts w:eastAsia="Calibri" w:cs="Arial"/>
                      <w:color w:val="585858"/>
                      <w:sz w:val="18"/>
                      <w:szCs w:val="18"/>
                    </w:rPr>
                  </w:pPr>
                </w:p>
                <w:p w14:paraId="63F5322E" w14:textId="77777777" w:rsidR="00FB4811" w:rsidRDefault="00BA5789">
                  <w:pPr>
                    <w:ind w:left="573"/>
                    <w:textAlignment w:val="baseline"/>
                    <w:rPr>
                      <w:rFonts w:eastAsia="Calibri" w:cs="Arial"/>
                      <w:color w:val="585858"/>
                      <w:sz w:val="18"/>
                      <w:szCs w:val="18"/>
                    </w:rPr>
                  </w:pPr>
                  <w:sdt>
                    <w:sdtPr>
                      <w:rPr>
                        <w:rFonts w:eastAsia="Calibri" w:cs="Arial"/>
                        <w:color w:val="585858"/>
                        <w:sz w:val="18"/>
                        <w:szCs w:val="18"/>
                      </w:rPr>
                      <w:id w:val="1939633141"/>
                      <w14:checkbox>
                        <w14:checked w14:val="0"/>
                        <w14:checkedState w14:val="2612" w14:font="MS Gothic"/>
                        <w14:uncheckedState w14:val="2610" w14:font="MS Gothic"/>
                      </w14:checkbox>
                    </w:sdtPr>
                    <w:sdtEndPr/>
                    <w:sdtContent>
                      <w:r w:rsidR="00B31CBF">
                        <w:rPr>
                          <w:rFonts w:ascii="MS Gothic" w:eastAsia="MS Gothic" w:hAnsi="MS Gothic" w:cs="Arial" w:hint="eastAsia"/>
                          <w:color w:val="585858"/>
                          <w:sz w:val="18"/>
                          <w:szCs w:val="18"/>
                        </w:rPr>
                        <w:t>☐</w:t>
                      </w:r>
                    </w:sdtContent>
                  </w:sdt>
                  <w:r w:rsidR="00B31CBF">
                    <w:rPr>
                      <w:rFonts w:eastAsia="Calibri" w:cs="Arial"/>
                      <w:color w:val="585858"/>
                      <w:sz w:val="18"/>
                      <w:szCs w:val="18"/>
                    </w:rPr>
                    <w:tab/>
                    <w:t>mit einem Umweltziel in</w:t>
                  </w:r>
                </w:p>
                <w:p w14:paraId="50930459" w14:textId="77777777" w:rsidR="00FB4811" w:rsidRDefault="00B31CBF">
                  <w:pPr>
                    <w:ind w:left="573"/>
                    <w:textAlignment w:val="baseline"/>
                    <w:rPr>
                      <w:rFonts w:eastAsia="Calibri" w:cs="Arial"/>
                      <w:color w:val="585858"/>
                      <w:sz w:val="18"/>
                      <w:szCs w:val="18"/>
                    </w:rPr>
                  </w:pPr>
                  <w:r>
                    <w:rPr>
                      <w:rFonts w:eastAsia="Calibri" w:cs="Arial"/>
                      <w:color w:val="585858"/>
                      <w:sz w:val="18"/>
                      <w:szCs w:val="18"/>
                    </w:rPr>
                    <w:t>Wirtschaftstätigkeiten, die nach der EU-Taxonomie als ökologisch nachhaltig einzustufen sind</w:t>
                  </w:r>
                </w:p>
                <w:p w14:paraId="331AAAEA" w14:textId="77777777" w:rsidR="00FB4811" w:rsidRDefault="00FB4811">
                  <w:pPr>
                    <w:ind w:left="573"/>
                    <w:textAlignment w:val="baseline"/>
                    <w:rPr>
                      <w:rFonts w:eastAsia="Calibri" w:cs="Arial"/>
                      <w:color w:val="585858"/>
                      <w:sz w:val="18"/>
                      <w:szCs w:val="18"/>
                    </w:rPr>
                  </w:pPr>
                </w:p>
                <w:p w14:paraId="211BB205" w14:textId="77777777" w:rsidR="00FB4811" w:rsidRDefault="00BA5789">
                  <w:pPr>
                    <w:ind w:left="573"/>
                    <w:textAlignment w:val="baseline"/>
                    <w:rPr>
                      <w:rFonts w:eastAsia="Calibri" w:cs="Arial"/>
                      <w:color w:val="585858"/>
                      <w:sz w:val="18"/>
                      <w:szCs w:val="18"/>
                    </w:rPr>
                  </w:pPr>
                  <w:sdt>
                    <w:sdtPr>
                      <w:rPr>
                        <w:rFonts w:eastAsia="Calibri" w:cs="Arial"/>
                        <w:color w:val="585858"/>
                        <w:sz w:val="18"/>
                        <w:szCs w:val="18"/>
                      </w:rPr>
                      <w:id w:val="-731546310"/>
                      <w14:checkbox>
                        <w14:checked w14:val="1"/>
                        <w14:checkedState w14:val="2612" w14:font="MS Gothic"/>
                        <w14:uncheckedState w14:val="2610" w14:font="MS Gothic"/>
                      </w14:checkbox>
                    </w:sdtPr>
                    <w:sdtEndPr/>
                    <w:sdtContent>
                      <w:r w:rsidR="00B31CBF">
                        <w:rPr>
                          <w:rFonts w:ascii="MS Gothic" w:eastAsia="MS Gothic" w:hAnsi="MS Gothic" w:cs="Arial" w:hint="eastAsia"/>
                          <w:color w:val="585858"/>
                          <w:sz w:val="18"/>
                          <w:szCs w:val="18"/>
                        </w:rPr>
                        <w:t>☒</w:t>
                      </w:r>
                    </w:sdtContent>
                  </w:sdt>
                  <w:r w:rsidR="00B31CBF">
                    <w:rPr>
                      <w:rFonts w:eastAsia="Calibri" w:cs="Arial"/>
                      <w:color w:val="585858"/>
                      <w:sz w:val="18"/>
                      <w:szCs w:val="18"/>
                    </w:rPr>
                    <w:tab/>
                    <w:t>mit einem Umweltziel in</w:t>
                  </w:r>
                </w:p>
                <w:p w14:paraId="3E892995" w14:textId="77777777" w:rsidR="00FB4811" w:rsidRDefault="00B31CBF">
                  <w:pPr>
                    <w:ind w:left="573"/>
                    <w:textAlignment w:val="baseline"/>
                    <w:rPr>
                      <w:rFonts w:eastAsia="Calibri" w:cs="Arial"/>
                      <w:color w:val="585858"/>
                      <w:sz w:val="18"/>
                      <w:szCs w:val="18"/>
                    </w:rPr>
                  </w:pPr>
                  <w:r>
                    <w:rPr>
                      <w:rFonts w:eastAsia="Calibri" w:cs="Arial"/>
                      <w:color w:val="585858"/>
                      <w:sz w:val="18"/>
                      <w:szCs w:val="18"/>
                    </w:rPr>
                    <w:t>Wirtschaftstätigkeiten, die nach der EU-Taxonomie nicht als ökologisch nachhaltig einzustufen sind</w:t>
                  </w:r>
                </w:p>
                <w:p w14:paraId="2F0D02B6" w14:textId="77777777" w:rsidR="00FB4811" w:rsidRDefault="00FB4811">
                  <w:pPr>
                    <w:ind w:left="573"/>
                    <w:textAlignment w:val="baseline"/>
                    <w:rPr>
                      <w:rFonts w:eastAsia="Calibri" w:cs="Arial"/>
                      <w:color w:val="585858"/>
                      <w:sz w:val="18"/>
                      <w:szCs w:val="18"/>
                    </w:rPr>
                  </w:pPr>
                </w:p>
                <w:p w14:paraId="212DC1D5" w14:textId="77777777" w:rsidR="00FB4811" w:rsidRDefault="00BA5789">
                  <w:pPr>
                    <w:ind w:left="573"/>
                    <w:textAlignment w:val="baseline"/>
                    <w:rPr>
                      <w:rFonts w:eastAsia="Calibri" w:cs="Arial"/>
                      <w:color w:val="585858"/>
                      <w:sz w:val="18"/>
                      <w:szCs w:val="18"/>
                    </w:rPr>
                  </w:pPr>
                  <w:sdt>
                    <w:sdtPr>
                      <w:rPr>
                        <w:rFonts w:eastAsia="Calibri" w:cs="Arial"/>
                        <w:color w:val="585858"/>
                        <w:sz w:val="18"/>
                        <w:szCs w:val="18"/>
                      </w:rPr>
                      <w:id w:val="1949435132"/>
                      <w14:checkbox>
                        <w14:checked w14:val="1"/>
                        <w14:checkedState w14:val="2612" w14:font="MS Gothic"/>
                        <w14:uncheckedState w14:val="2610" w14:font="MS Gothic"/>
                      </w14:checkbox>
                    </w:sdtPr>
                    <w:sdtEndPr/>
                    <w:sdtContent>
                      <w:r w:rsidR="00B31CBF">
                        <w:rPr>
                          <w:rFonts w:ascii="MS Gothic" w:eastAsia="MS Gothic" w:hAnsi="MS Gothic" w:cs="Arial" w:hint="eastAsia"/>
                          <w:color w:val="585858"/>
                          <w:sz w:val="18"/>
                          <w:szCs w:val="18"/>
                        </w:rPr>
                        <w:t>☒</w:t>
                      </w:r>
                    </w:sdtContent>
                  </w:sdt>
                  <w:r w:rsidR="00B31CBF">
                    <w:rPr>
                      <w:rFonts w:eastAsia="Calibri" w:cs="Arial"/>
                      <w:color w:val="585858"/>
                      <w:sz w:val="18"/>
                      <w:szCs w:val="18"/>
                    </w:rPr>
                    <w:tab/>
                    <w:t>mit einem sozialen Ziel</w:t>
                  </w:r>
                </w:p>
                <w:p w14:paraId="7371C751" w14:textId="77777777" w:rsidR="00FB4811" w:rsidRDefault="00BA5789">
                  <w:pPr>
                    <w:spacing w:before="120"/>
                    <w:ind w:left="278"/>
                    <w:textAlignment w:val="baseline"/>
                    <w:rPr>
                      <w:rFonts w:eastAsia="Calibri" w:cs="Arial"/>
                      <w:color w:val="585858"/>
                      <w:sz w:val="18"/>
                      <w:szCs w:val="18"/>
                    </w:rPr>
                  </w:pPr>
                  <w:sdt>
                    <w:sdtPr>
                      <w:rPr>
                        <w:rFonts w:eastAsia="Calibri" w:cs="Arial"/>
                        <w:color w:val="585858"/>
                        <w:sz w:val="18"/>
                        <w:szCs w:val="18"/>
                      </w:rPr>
                      <w:id w:val="-1491636047"/>
                      <w14:checkbox>
                        <w14:checked w14:val="0"/>
                        <w14:checkedState w14:val="2612" w14:font="MS Gothic"/>
                        <w14:uncheckedState w14:val="2610" w14:font="MS Gothic"/>
                      </w14:checkbox>
                    </w:sdtPr>
                    <w:sdtEndPr/>
                    <w:sdtContent>
                      <w:r w:rsidR="00B31CBF">
                        <w:rPr>
                          <w:rFonts w:ascii="Segoe UI Symbol" w:eastAsia="MS Gothic" w:hAnsi="Segoe UI Symbol" w:cs="Segoe UI Symbol"/>
                          <w:color w:val="585858"/>
                          <w:sz w:val="18"/>
                          <w:szCs w:val="18"/>
                        </w:rPr>
                        <w:t>☐</w:t>
                      </w:r>
                    </w:sdtContent>
                  </w:sdt>
                  <w:r w:rsidR="00B31CBF">
                    <w:rPr>
                      <w:rFonts w:eastAsia="Calibri" w:cs="Arial"/>
                      <w:color w:val="585858"/>
                      <w:sz w:val="18"/>
                      <w:szCs w:val="18"/>
                    </w:rPr>
                    <w:tab/>
                    <w:t xml:space="preserve">Es wurden damit ökologische/soziale Merkmale beworben, aber </w:t>
                  </w:r>
                  <w:r w:rsidR="00B31CBF">
                    <w:rPr>
                      <w:rFonts w:eastAsia="Calibri" w:cs="Arial"/>
                      <w:b/>
                      <w:color w:val="585858"/>
                      <w:sz w:val="18"/>
                      <w:szCs w:val="18"/>
                    </w:rPr>
                    <w:t>keine nachhaltigen Investitionen getätigt.</w:t>
                  </w:r>
                </w:p>
              </w:tc>
            </w:tr>
          </w:tbl>
          <w:p w14:paraId="494C042B" w14:textId="77777777" w:rsidR="00FB4811" w:rsidRDefault="00FB4811">
            <w:pPr>
              <w:spacing w:before="60"/>
              <w:jc w:val="both"/>
              <w:rPr>
                <w:rFonts w:cs="Arial"/>
                <w:b/>
                <w:i/>
                <w:sz w:val="18"/>
                <w:szCs w:val="18"/>
              </w:rPr>
            </w:pPr>
          </w:p>
        </w:tc>
      </w:tr>
      <w:tr w:rsidR="00FB4811" w14:paraId="4BA71559" w14:textId="77777777" w:rsidTr="00EA5280">
        <w:trPr>
          <w:trHeight w:val="739"/>
        </w:trPr>
        <w:tc>
          <w:tcPr>
            <w:tcW w:w="1702" w:type="dxa"/>
            <w:shd w:val="clear" w:color="auto" w:fill="auto"/>
            <w:vAlign w:val="bottom"/>
          </w:tcPr>
          <w:p w14:paraId="780DCAB5" w14:textId="77777777" w:rsidR="00FB4811" w:rsidRDefault="00FB4811">
            <w:pPr>
              <w:rPr>
                <w:rFonts w:cs="Arial"/>
                <w:sz w:val="18"/>
                <w:szCs w:val="18"/>
              </w:rPr>
            </w:pPr>
          </w:p>
        </w:tc>
        <w:tc>
          <w:tcPr>
            <w:tcW w:w="572" w:type="dxa"/>
          </w:tcPr>
          <w:p w14:paraId="44266988" w14:textId="77777777" w:rsidR="00FB4811" w:rsidRDefault="00B31CBF">
            <w:pPr>
              <w:spacing w:after="23" w:line="264" w:lineRule="exact"/>
              <w:ind w:left="108" w:right="360"/>
              <w:textAlignment w:val="baseline"/>
              <w:rPr>
                <w:rFonts w:eastAsia="Calibri" w:cs="Arial"/>
                <w:b/>
                <w:color w:val="000000"/>
                <w:sz w:val="18"/>
                <w:szCs w:val="18"/>
              </w:rPr>
            </w:pPr>
            <w:r>
              <w:rPr>
                <w:rFonts w:cs="Arial"/>
                <w:noProof/>
                <w:szCs w:val="15"/>
              </w:rPr>
              <w:drawing>
                <wp:anchor distT="0" distB="0" distL="114300" distR="114300" simplePos="0" relativeHeight="251703296" behindDoc="1" locked="0" layoutInCell="1" allowOverlap="1" wp14:anchorId="53B71532" wp14:editId="31B509CA">
                  <wp:simplePos x="0" y="0"/>
                  <wp:positionH relativeFrom="column">
                    <wp:posOffset>-961844</wp:posOffset>
                  </wp:positionH>
                  <wp:positionV relativeFrom="paragraph">
                    <wp:posOffset>-12518</wp:posOffset>
                  </wp:positionV>
                  <wp:extent cx="1285875" cy="482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48260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vMerge w:val="restart"/>
            <w:shd w:val="clear" w:color="auto" w:fill="auto"/>
          </w:tcPr>
          <w:p w14:paraId="17257EC1" w14:textId="48080B94" w:rsidR="00FB4811" w:rsidRPr="00AF1B16" w:rsidRDefault="00B31CBF" w:rsidP="00AF1B16">
            <w:pPr>
              <w:suppressAutoHyphens w:val="0"/>
              <w:spacing w:before="154"/>
              <w:jc w:val="both"/>
              <w:textAlignment w:val="baseline"/>
              <w:rPr>
                <w:rFonts w:eastAsia="Calibri" w:cs="Arial"/>
                <w:b/>
                <w:color w:val="000000"/>
                <w:spacing w:val="7"/>
                <w:sz w:val="18"/>
                <w:szCs w:val="18"/>
                <w:lang w:eastAsia="en-US"/>
              </w:rPr>
            </w:pPr>
            <w:r>
              <w:rPr>
                <w:rFonts w:eastAsia="Calibri" w:cs="Arial"/>
                <w:b/>
                <w:color w:val="000000"/>
                <w:spacing w:val="7"/>
                <w:sz w:val="18"/>
                <w:szCs w:val="18"/>
                <w:lang w:eastAsia="en-US"/>
              </w:rPr>
              <w:t>Inwieweit wurden die mit dem Finanzprodukt beworbenen ökologischen</w:t>
            </w:r>
            <w:r w:rsidR="00AF1B16">
              <w:rPr>
                <w:rFonts w:eastAsia="Calibri" w:cs="Arial"/>
                <w:b/>
                <w:color w:val="000000"/>
                <w:spacing w:val="7"/>
                <w:sz w:val="18"/>
                <w:szCs w:val="18"/>
                <w:lang w:eastAsia="en-US"/>
              </w:rPr>
              <w:t xml:space="preserve"> </w:t>
            </w:r>
            <w:r>
              <w:rPr>
                <w:rFonts w:eastAsia="Calibri" w:cs="Arial"/>
                <w:b/>
                <w:color w:val="000000"/>
                <w:spacing w:val="7"/>
                <w:sz w:val="18"/>
                <w:szCs w:val="18"/>
                <w:lang w:eastAsia="en-US"/>
              </w:rPr>
              <w:t>und/oder sozialen Merkmale erfüllt?</w:t>
            </w:r>
            <w:r w:rsidR="00DD332F">
              <w:rPr>
                <w:rFonts w:eastAsia="Calibri" w:cs="Arial"/>
                <w:b/>
                <w:color w:val="000000"/>
                <w:spacing w:val="7"/>
                <w:sz w:val="18"/>
                <w:szCs w:val="18"/>
                <w:lang w:eastAsia="en-US"/>
              </w:rPr>
              <w:tab/>
            </w:r>
            <w:r>
              <w:rPr>
                <w:rFonts w:eastAsia="Calibri" w:cs="Arial"/>
                <w:b/>
                <w:i/>
                <w:color w:val="000000"/>
                <w:spacing w:val="7"/>
                <w:sz w:val="18"/>
                <w:szCs w:val="18"/>
                <w:lang w:eastAsia="en-US"/>
              </w:rPr>
              <w:t xml:space="preserve"> </w:t>
            </w:r>
            <w:r w:rsidR="00C34383">
              <w:rPr>
                <w:rFonts w:eastAsia="Calibri" w:cs="Arial"/>
                <w:b/>
                <w:i/>
                <w:color w:val="000000"/>
                <w:spacing w:val="7"/>
                <w:sz w:val="18"/>
                <w:szCs w:val="18"/>
                <w:lang w:eastAsia="en-US"/>
              </w:rPr>
              <w:br/>
            </w:r>
          </w:p>
          <w:p w14:paraId="1544AE9B" w14:textId="2F652C42" w:rsidR="00C34383" w:rsidRDefault="00C34383" w:rsidP="00AF1B16">
            <w:pPr>
              <w:spacing w:after="23"/>
              <w:ind w:left="108" w:right="360"/>
              <w:jc w:val="both"/>
              <w:textAlignment w:val="baseline"/>
              <w:rPr>
                <w:rFonts w:cs="Arial"/>
                <w:noProof/>
                <w:sz w:val="18"/>
                <w:szCs w:val="18"/>
              </w:rPr>
            </w:pPr>
            <w:r>
              <w:rPr>
                <w:rFonts w:cs="Arial"/>
                <w:noProof/>
                <w:sz w:val="18"/>
                <w:szCs w:val="18"/>
              </w:rPr>
              <w:t>Im Berichtszeitraum hat der Konzern Versicherungskammer seinen Nachhaltigkeitsansatz für die Kapitalanlage entlang der sechs Prinzipien der „Principles for Responsible Investment“ (PRI) weiter konkretisiert und seine Anlagepolitik in Bezug auf die Aspekte Ökologie, Soziales und Unternehmensführung (Nachhaltigkeitsaspekte, welche unter dem Akronym „ESG“ zusammen</w:t>
            </w:r>
            <w:r w:rsidR="00713633">
              <w:rPr>
                <w:rFonts w:cs="Arial"/>
                <w:noProof/>
                <w:sz w:val="18"/>
                <w:szCs w:val="18"/>
              </w:rPr>
              <w:softHyphen/>
            </w:r>
            <w:r>
              <w:rPr>
                <w:rFonts w:cs="Arial"/>
                <w:noProof/>
                <w:sz w:val="18"/>
                <w:szCs w:val="18"/>
              </w:rPr>
              <w:t>gefasst sind, das für „Environment“, „Social“ and „Governance“ steht) weiterentwickelt. Dies umfasst auch die im Anlagekonzept beworbenen und verfolgten ökologischen und sozialen Merkmale:</w:t>
            </w:r>
          </w:p>
          <w:p w14:paraId="06EB352C" w14:textId="77777777" w:rsidR="00C34383" w:rsidRDefault="00C34383" w:rsidP="00AF1B16">
            <w:pPr>
              <w:spacing w:after="23"/>
              <w:ind w:left="108" w:right="360"/>
              <w:jc w:val="both"/>
              <w:textAlignment w:val="baseline"/>
              <w:rPr>
                <w:rFonts w:cs="Arial"/>
                <w:noProof/>
                <w:sz w:val="18"/>
                <w:szCs w:val="18"/>
              </w:rPr>
            </w:pPr>
          </w:p>
          <w:p w14:paraId="086389B1" w14:textId="77777777" w:rsidR="00C34383" w:rsidRPr="007765AA" w:rsidRDefault="00C34383" w:rsidP="00AF1B16">
            <w:pPr>
              <w:pStyle w:val="Listenabsatz"/>
              <w:numPr>
                <w:ilvl w:val="0"/>
                <w:numId w:val="23"/>
              </w:numPr>
              <w:spacing w:after="23"/>
              <w:ind w:right="360"/>
              <w:jc w:val="both"/>
              <w:textAlignment w:val="baseline"/>
              <w:rPr>
                <w:rFonts w:cs="Arial"/>
                <w:b/>
                <w:bCs/>
                <w:noProof/>
                <w:sz w:val="18"/>
                <w:szCs w:val="18"/>
              </w:rPr>
            </w:pPr>
            <w:r w:rsidRPr="007765AA">
              <w:rPr>
                <w:rFonts w:cs="Arial"/>
                <w:b/>
                <w:bCs/>
                <w:noProof/>
                <w:sz w:val="18"/>
                <w:szCs w:val="18"/>
              </w:rPr>
              <w:t>Einhaltung des konzernweiten Mindeststandards</w:t>
            </w:r>
            <w:r>
              <w:rPr>
                <w:rFonts w:cs="Arial"/>
                <w:b/>
                <w:bCs/>
                <w:noProof/>
                <w:sz w:val="18"/>
                <w:szCs w:val="18"/>
              </w:rPr>
              <w:t xml:space="preserve"> (Ausschlusskriterien)</w:t>
            </w:r>
            <w:r w:rsidRPr="007765AA">
              <w:rPr>
                <w:rFonts w:cs="Arial"/>
                <w:b/>
                <w:bCs/>
                <w:noProof/>
                <w:sz w:val="18"/>
                <w:szCs w:val="18"/>
              </w:rPr>
              <w:t xml:space="preserve"> in Bezug auf Kapitalanlagen</w:t>
            </w:r>
          </w:p>
          <w:p w14:paraId="6DA60152" w14:textId="77777777" w:rsidR="00C34383" w:rsidRDefault="00C34383" w:rsidP="00AF1B16">
            <w:pPr>
              <w:spacing w:after="23"/>
              <w:ind w:left="459" w:right="357"/>
              <w:jc w:val="both"/>
              <w:textAlignment w:val="baseline"/>
              <w:rPr>
                <w:rFonts w:cs="Arial"/>
                <w:noProof/>
                <w:sz w:val="18"/>
                <w:szCs w:val="18"/>
              </w:rPr>
            </w:pPr>
            <w:r>
              <w:rPr>
                <w:rFonts w:cs="Arial"/>
                <w:noProof/>
                <w:sz w:val="18"/>
                <w:szCs w:val="18"/>
              </w:rPr>
              <w:t>Die Nachhaltigkeitsstrategie für die Kapitalanlage fordert grundlegende Standards eines nachhaltigen Wirtschaftens ein. Dieser Mindeststandard des Konzerns umfasste im Berichtszeitraum 01.01.2023 bis 31.12.2023 folgende Ausschlusskriterien:</w:t>
            </w:r>
          </w:p>
          <w:p w14:paraId="148DA592" w14:textId="77777777" w:rsidR="00C34383" w:rsidRPr="0029453F" w:rsidRDefault="00C34383" w:rsidP="00AF1B16">
            <w:pPr>
              <w:pStyle w:val="Listenabsatz"/>
              <w:numPr>
                <w:ilvl w:val="0"/>
                <w:numId w:val="22"/>
              </w:numPr>
              <w:spacing w:after="23"/>
              <w:ind w:left="879" w:right="360"/>
              <w:jc w:val="both"/>
              <w:textAlignment w:val="baseline"/>
              <w:rPr>
                <w:rFonts w:cs="Arial"/>
                <w:noProof/>
                <w:sz w:val="18"/>
                <w:szCs w:val="18"/>
              </w:rPr>
            </w:pPr>
            <w:r w:rsidRPr="0029453F">
              <w:rPr>
                <w:rFonts w:cs="Arial"/>
                <w:noProof/>
                <w:sz w:val="18"/>
                <w:szCs w:val="18"/>
              </w:rPr>
              <w:t xml:space="preserve">Ausschluss von gezielten Investitionen in Agrarrohstoffe und Finanzinstrumente zur Spekulationen auf Nahrungsmittel </w:t>
            </w:r>
          </w:p>
          <w:p w14:paraId="19159268" w14:textId="77777777" w:rsidR="00C34383" w:rsidRDefault="00C34383" w:rsidP="00AF1B16">
            <w:pPr>
              <w:pStyle w:val="Listenabsatz"/>
              <w:numPr>
                <w:ilvl w:val="0"/>
                <w:numId w:val="22"/>
              </w:numPr>
              <w:spacing w:after="23"/>
              <w:ind w:left="879" w:right="360"/>
              <w:jc w:val="both"/>
              <w:textAlignment w:val="baseline"/>
              <w:rPr>
                <w:rFonts w:cs="Arial"/>
                <w:noProof/>
                <w:sz w:val="18"/>
                <w:szCs w:val="18"/>
              </w:rPr>
            </w:pPr>
            <w:r w:rsidRPr="00D806B3">
              <w:rPr>
                <w:rFonts w:cs="Arial"/>
                <w:noProof/>
                <w:sz w:val="18"/>
                <w:szCs w:val="18"/>
              </w:rPr>
              <w:lastRenderedPageBreak/>
              <w:t>Ausschluss von Investitionen in Unternehmen, die in Verbindung mit kontroversen Waffen inkl. Nuklearwaffen stehen</w:t>
            </w:r>
          </w:p>
          <w:p w14:paraId="6B9E5461" w14:textId="77777777" w:rsidR="00C34383" w:rsidRDefault="00C34383" w:rsidP="00AF1B16">
            <w:pPr>
              <w:pStyle w:val="Listenabsatz"/>
              <w:numPr>
                <w:ilvl w:val="0"/>
                <w:numId w:val="22"/>
              </w:numPr>
              <w:spacing w:after="23"/>
              <w:ind w:left="879" w:right="360"/>
              <w:jc w:val="both"/>
              <w:textAlignment w:val="baseline"/>
              <w:rPr>
                <w:rFonts w:cs="Arial"/>
                <w:noProof/>
                <w:sz w:val="18"/>
                <w:szCs w:val="18"/>
              </w:rPr>
            </w:pPr>
            <w:r w:rsidRPr="00D806B3">
              <w:rPr>
                <w:rFonts w:cs="Arial"/>
                <w:noProof/>
                <w:sz w:val="18"/>
                <w:szCs w:val="18"/>
              </w:rPr>
              <w:t>Ausschluss von Investitionen in Unternehmen mit schwerwiegenden Verstößen gegen die 10 grundlegenden Prinzipien für die Bereiche Menschenrechte, Arbeitsnormen, Umwelt und Korruptionsprävention des UN Global Compact</w:t>
            </w:r>
          </w:p>
          <w:p w14:paraId="3417FAB6" w14:textId="77777777" w:rsidR="00C34383" w:rsidRDefault="00C34383" w:rsidP="00AF1B16">
            <w:pPr>
              <w:pStyle w:val="Listenabsatz"/>
              <w:numPr>
                <w:ilvl w:val="0"/>
                <w:numId w:val="22"/>
              </w:numPr>
              <w:spacing w:after="23"/>
              <w:ind w:left="879" w:right="360"/>
              <w:jc w:val="both"/>
              <w:textAlignment w:val="baseline"/>
              <w:rPr>
                <w:rFonts w:cs="Arial"/>
                <w:noProof/>
                <w:sz w:val="18"/>
                <w:szCs w:val="18"/>
              </w:rPr>
            </w:pPr>
            <w:r w:rsidRPr="00D806B3">
              <w:rPr>
                <w:rFonts w:cs="Arial"/>
                <w:noProof/>
                <w:sz w:val="18"/>
                <w:szCs w:val="18"/>
              </w:rPr>
              <w:t>Ausschluss von Investitionen in Unternehmen, die mehr als 5% mit der Förderung thermischer Kohle erwirtschaften</w:t>
            </w:r>
            <w:r w:rsidRPr="00D806B3">
              <w:rPr>
                <w:rFonts w:cs="Arial"/>
                <w:noProof/>
                <w:sz w:val="18"/>
                <w:szCs w:val="18"/>
              </w:rPr>
              <w:tab/>
            </w:r>
          </w:p>
          <w:p w14:paraId="16F9DA22" w14:textId="77777777" w:rsidR="00C34383" w:rsidRPr="00D806B3" w:rsidRDefault="00C34383" w:rsidP="00AF1B16">
            <w:pPr>
              <w:pStyle w:val="Listenabsatz"/>
              <w:numPr>
                <w:ilvl w:val="0"/>
                <w:numId w:val="22"/>
              </w:numPr>
              <w:spacing w:after="23"/>
              <w:ind w:left="879" w:right="360"/>
              <w:jc w:val="both"/>
              <w:textAlignment w:val="baseline"/>
              <w:rPr>
                <w:rFonts w:cs="Arial"/>
                <w:noProof/>
                <w:sz w:val="18"/>
                <w:szCs w:val="18"/>
              </w:rPr>
            </w:pPr>
            <w:r w:rsidRPr="00D806B3">
              <w:rPr>
                <w:rFonts w:cs="Arial"/>
                <w:noProof/>
                <w:sz w:val="18"/>
                <w:szCs w:val="18"/>
              </w:rPr>
              <w:t>Ausschluss von Investitionen in Unternehmen, die mehr als 25% mit der Verstromung von Kohle erwirtschaften</w:t>
            </w:r>
          </w:p>
          <w:p w14:paraId="0A31FECE" w14:textId="77777777" w:rsidR="00C34383" w:rsidRDefault="00C34383" w:rsidP="00AF1B16">
            <w:pPr>
              <w:spacing w:after="23"/>
              <w:ind w:left="108" w:right="360"/>
              <w:jc w:val="both"/>
              <w:textAlignment w:val="baseline"/>
              <w:rPr>
                <w:rFonts w:cs="Arial"/>
                <w:noProof/>
                <w:sz w:val="18"/>
                <w:szCs w:val="18"/>
              </w:rPr>
            </w:pPr>
          </w:p>
          <w:p w14:paraId="3B08DE02" w14:textId="77777777" w:rsidR="00C34383" w:rsidRDefault="00C34383" w:rsidP="00AF1B16">
            <w:pPr>
              <w:spacing w:after="23"/>
              <w:ind w:left="460" w:right="360"/>
              <w:jc w:val="both"/>
              <w:textAlignment w:val="baseline"/>
              <w:rPr>
                <w:rFonts w:cs="Arial"/>
                <w:noProof/>
                <w:sz w:val="18"/>
                <w:szCs w:val="18"/>
              </w:rPr>
            </w:pPr>
            <w:r>
              <w:rPr>
                <w:rFonts w:cs="Arial"/>
                <w:noProof/>
                <w:sz w:val="18"/>
                <w:szCs w:val="18"/>
              </w:rPr>
              <w:t>Dieser Ansatz wurde zum 01.05.23 um weitere Kriterien erweitert:</w:t>
            </w:r>
          </w:p>
          <w:p w14:paraId="5E39BCE7" w14:textId="77777777" w:rsidR="00C34383" w:rsidRDefault="00C34383" w:rsidP="00AF1B16">
            <w:pPr>
              <w:pStyle w:val="Listenabsatz"/>
              <w:numPr>
                <w:ilvl w:val="0"/>
                <w:numId w:val="22"/>
              </w:numPr>
              <w:spacing w:after="23"/>
              <w:ind w:left="879" w:right="360"/>
              <w:jc w:val="both"/>
              <w:textAlignment w:val="baseline"/>
              <w:rPr>
                <w:rFonts w:cs="Arial"/>
                <w:noProof/>
                <w:sz w:val="18"/>
                <w:szCs w:val="18"/>
              </w:rPr>
            </w:pPr>
            <w:r>
              <w:rPr>
                <w:rFonts w:cs="Arial"/>
                <w:noProof/>
                <w:sz w:val="18"/>
                <w:szCs w:val="18"/>
              </w:rPr>
              <w:t>Ausschluss von Investitionen in Unternehmen, die Tabakprodukte herstellen</w:t>
            </w:r>
          </w:p>
          <w:p w14:paraId="6810E360" w14:textId="77777777" w:rsidR="00C34383" w:rsidRDefault="00C34383" w:rsidP="00AF1B16">
            <w:pPr>
              <w:pStyle w:val="Listenabsatz"/>
              <w:numPr>
                <w:ilvl w:val="0"/>
                <w:numId w:val="22"/>
              </w:numPr>
              <w:spacing w:after="23"/>
              <w:ind w:left="879" w:right="360"/>
              <w:jc w:val="both"/>
              <w:textAlignment w:val="baseline"/>
              <w:rPr>
                <w:rFonts w:cs="Arial"/>
                <w:noProof/>
                <w:sz w:val="18"/>
                <w:szCs w:val="18"/>
              </w:rPr>
            </w:pPr>
            <w:r>
              <w:rPr>
                <w:rFonts w:cs="Arial"/>
                <w:noProof/>
                <w:sz w:val="18"/>
                <w:szCs w:val="18"/>
              </w:rPr>
              <w:t>Ausschluss von Investitionen in Staaten, die als „not free“ nach dem Freedom House Index eingestuft sind</w:t>
            </w:r>
          </w:p>
          <w:p w14:paraId="6AEFC492" w14:textId="77777777" w:rsidR="00C34383" w:rsidRDefault="00C34383" w:rsidP="00AF1B16">
            <w:pPr>
              <w:spacing w:after="23"/>
              <w:ind w:left="108" w:right="360"/>
              <w:jc w:val="both"/>
              <w:textAlignment w:val="baseline"/>
              <w:rPr>
                <w:rFonts w:cs="Arial"/>
                <w:noProof/>
                <w:sz w:val="18"/>
                <w:szCs w:val="18"/>
              </w:rPr>
            </w:pPr>
          </w:p>
          <w:p w14:paraId="0B55080F" w14:textId="575FB16C" w:rsidR="00C34383" w:rsidRDefault="00C34383" w:rsidP="00AF1B16">
            <w:pPr>
              <w:spacing w:after="23"/>
              <w:ind w:left="460" w:right="360"/>
              <w:jc w:val="both"/>
              <w:textAlignment w:val="baseline"/>
              <w:rPr>
                <w:rFonts w:cs="Arial"/>
                <w:noProof/>
                <w:sz w:val="18"/>
                <w:szCs w:val="18"/>
              </w:rPr>
            </w:pPr>
            <w:r>
              <w:rPr>
                <w:rFonts w:cs="Arial"/>
                <w:noProof/>
                <w:sz w:val="18"/>
                <w:szCs w:val="18"/>
              </w:rPr>
              <w:t xml:space="preserve">Die Anwendung der Ausschlusskriterien fokussiert auf solche Anlageformen und Instrumente, </w:t>
            </w:r>
            <w:r w:rsidRPr="00C6600B">
              <w:rPr>
                <w:rFonts w:cs="Arial"/>
                <w:noProof/>
                <w:sz w:val="18"/>
                <w:szCs w:val="18"/>
              </w:rPr>
              <w:t>in die der Konzern Versicherungskammer über die Direktanlage oder interne bzw. externe Mandatslösungen (z.B. mittels Spezialfonds) investiert</w:t>
            </w:r>
            <w:r>
              <w:rPr>
                <w:rFonts w:cs="Arial"/>
                <w:noProof/>
                <w:sz w:val="18"/>
                <w:szCs w:val="18"/>
              </w:rPr>
              <w:t xml:space="preserve">. </w:t>
            </w:r>
            <w:r w:rsidRPr="00C6600B">
              <w:rPr>
                <w:rFonts w:cs="Arial"/>
                <w:noProof/>
                <w:sz w:val="18"/>
                <w:szCs w:val="18"/>
              </w:rPr>
              <w:t>Auch bei Inves</w:t>
            </w:r>
            <w:r w:rsidR="00713633">
              <w:rPr>
                <w:rFonts w:cs="Arial"/>
                <w:noProof/>
                <w:sz w:val="18"/>
                <w:szCs w:val="18"/>
              </w:rPr>
              <w:softHyphen/>
            </w:r>
            <w:r w:rsidRPr="00C6600B">
              <w:rPr>
                <w:rFonts w:cs="Arial"/>
                <w:noProof/>
                <w:sz w:val="18"/>
                <w:szCs w:val="18"/>
              </w:rPr>
              <w:t xml:space="preserve">titionen, die vom Konzern nicht direkt beeinflusst werden können (z.B. mittels Zielfonds), </w:t>
            </w:r>
            <w:r>
              <w:rPr>
                <w:rFonts w:cs="Arial"/>
                <w:noProof/>
                <w:sz w:val="18"/>
                <w:szCs w:val="18"/>
              </w:rPr>
              <w:t>wurden</w:t>
            </w:r>
            <w:r w:rsidRPr="00C6600B">
              <w:rPr>
                <w:rFonts w:cs="Arial"/>
                <w:noProof/>
                <w:sz w:val="18"/>
                <w:szCs w:val="18"/>
              </w:rPr>
              <w:t xml:space="preserve"> – sofern mit der Gesamtanlagestrategie vereinbar – die Ausschlusskriterien eingehalten</w:t>
            </w:r>
            <w:r>
              <w:rPr>
                <w:rFonts w:cs="Arial"/>
                <w:noProof/>
                <w:sz w:val="18"/>
                <w:szCs w:val="18"/>
              </w:rPr>
              <w:t>. Dabei kommt ein sogenannter Bestandsschutz für diejenigen Investitionen zur Anwendung, die vor dem 01.06.2022 erworben wurden.</w:t>
            </w:r>
          </w:p>
          <w:p w14:paraId="5822D408" w14:textId="77777777" w:rsidR="00C34383" w:rsidRDefault="00C34383" w:rsidP="00AF1B16">
            <w:pPr>
              <w:spacing w:after="23"/>
              <w:ind w:left="460" w:right="360"/>
              <w:jc w:val="both"/>
              <w:textAlignment w:val="baseline"/>
              <w:rPr>
                <w:rFonts w:cs="Arial"/>
                <w:noProof/>
                <w:sz w:val="18"/>
                <w:szCs w:val="18"/>
              </w:rPr>
            </w:pPr>
          </w:p>
          <w:p w14:paraId="560B5E67" w14:textId="0D266716" w:rsidR="00667E8A" w:rsidRDefault="00C34383" w:rsidP="00AF1B16">
            <w:pPr>
              <w:spacing w:after="23"/>
              <w:ind w:left="460" w:right="360"/>
              <w:jc w:val="both"/>
              <w:textAlignment w:val="baseline"/>
              <w:rPr>
                <w:rFonts w:cs="Arial"/>
                <w:sz w:val="18"/>
                <w:szCs w:val="18"/>
              </w:rPr>
            </w:pPr>
            <w:r w:rsidRPr="0029453F">
              <w:rPr>
                <w:rFonts w:cs="Arial"/>
                <w:sz w:val="18"/>
                <w:szCs w:val="18"/>
              </w:rPr>
              <w:t xml:space="preserve">Die Anlageoption </w:t>
            </w:r>
            <w:r w:rsidR="00D765C6">
              <w:rPr>
                <w:rFonts w:cs="Arial"/>
                <w:sz w:val="18"/>
                <w:szCs w:val="18"/>
              </w:rPr>
              <w:t>ROK Zukunft</w:t>
            </w:r>
            <w:r w:rsidRPr="0029453F">
              <w:rPr>
                <w:rFonts w:cs="Arial"/>
                <w:sz w:val="18"/>
                <w:szCs w:val="18"/>
              </w:rPr>
              <w:t xml:space="preserve"> investierte im Berichtszeitraum überwiegend in Vermögens</w:t>
            </w:r>
            <w:r w:rsidR="00713633">
              <w:rPr>
                <w:rFonts w:cs="Arial"/>
                <w:sz w:val="18"/>
                <w:szCs w:val="18"/>
              </w:rPr>
              <w:softHyphen/>
            </w:r>
            <w:r w:rsidRPr="0029453F">
              <w:rPr>
                <w:rFonts w:cs="Arial"/>
                <w:sz w:val="18"/>
                <w:szCs w:val="18"/>
              </w:rPr>
              <w:t xml:space="preserve">gegenstände, die diesen Mindeststandard des Konzerns erfüllen. </w:t>
            </w:r>
            <w:r w:rsidR="00667E8A">
              <w:rPr>
                <w:rFonts w:cs="Arial"/>
                <w:sz w:val="18"/>
                <w:szCs w:val="18"/>
              </w:rPr>
              <w:t>Zusätzlich dazu wurden Investitionen in Unternehmen ausgeschlossen, die</w:t>
            </w:r>
            <w:r w:rsidR="00667E8A" w:rsidRPr="00451CE5">
              <w:rPr>
                <w:rFonts w:cs="Arial"/>
                <w:sz w:val="18"/>
                <w:szCs w:val="18"/>
              </w:rPr>
              <w:t xml:space="preserve"> schwerwiegende Verstöße in Bezug auf Biodiversität &amp; Landnutzung, Wasserstress oder giftige Emissionen und Abfall</w:t>
            </w:r>
            <w:r w:rsidR="00667E8A">
              <w:rPr>
                <w:rFonts w:cs="Arial"/>
                <w:sz w:val="18"/>
                <w:szCs w:val="18"/>
              </w:rPr>
              <w:t xml:space="preserve"> aufweisen.</w:t>
            </w:r>
          </w:p>
          <w:p w14:paraId="1B585C04" w14:textId="77777777" w:rsidR="00C34383" w:rsidRDefault="00C34383" w:rsidP="00AF1B16">
            <w:pPr>
              <w:spacing w:after="23"/>
              <w:ind w:left="460" w:right="360"/>
              <w:jc w:val="both"/>
              <w:textAlignment w:val="baseline"/>
              <w:rPr>
                <w:rFonts w:cs="Arial"/>
                <w:noProof/>
                <w:sz w:val="18"/>
                <w:szCs w:val="18"/>
              </w:rPr>
            </w:pPr>
          </w:p>
          <w:p w14:paraId="27CED794" w14:textId="77777777" w:rsidR="00C34383" w:rsidRPr="0029453F" w:rsidRDefault="00C34383" w:rsidP="00AF1B16">
            <w:pPr>
              <w:pStyle w:val="Listenabsatz"/>
              <w:numPr>
                <w:ilvl w:val="0"/>
                <w:numId w:val="23"/>
              </w:numPr>
              <w:spacing w:after="23"/>
              <w:ind w:right="360"/>
              <w:jc w:val="both"/>
              <w:textAlignment w:val="baseline"/>
              <w:rPr>
                <w:rFonts w:cs="Arial"/>
                <w:b/>
                <w:bCs/>
                <w:noProof/>
                <w:sz w:val="18"/>
                <w:szCs w:val="18"/>
              </w:rPr>
            </w:pPr>
            <w:r w:rsidRPr="0029453F">
              <w:rPr>
                <w:rFonts w:cs="Arial"/>
                <w:b/>
                <w:bCs/>
                <w:noProof/>
                <w:sz w:val="18"/>
                <w:szCs w:val="18"/>
              </w:rPr>
              <w:t>Investition in nachhaltige Investitionen gemäß Artikel 2 (17) der Offenlegungs</w:t>
            </w:r>
            <w:r>
              <w:rPr>
                <w:rFonts w:cs="Arial"/>
                <w:b/>
                <w:bCs/>
                <w:noProof/>
                <w:sz w:val="18"/>
                <w:szCs w:val="18"/>
              </w:rPr>
              <w:t>-</w:t>
            </w:r>
            <w:r w:rsidRPr="0029453F">
              <w:rPr>
                <w:rFonts w:cs="Arial"/>
                <w:b/>
                <w:bCs/>
                <w:noProof/>
                <w:sz w:val="18"/>
                <w:szCs w:val="18"/>
              </w:rPr>
              <w:t>verordnung (EU) 2019/2088</w:t>
            </w:r>
          </w:p>
          <w:p w14:paraId="4530FF3D" w14:textId="03DA5FCB" w:rsidR="00C34383" w:rsidRDefault="00C34383" w:rsidP="00AF1B16">
            <w:pPr>
              <w:spacing w:after="23"/>
              <w:ind w:left="459" w:right="357"/>
              <w:jc w:val="both"/>
              <w:textAlignment w:val="baseline"/>
              <w:rPr>
                <w:rFonts w:cs="Arial"/>
                <w:sz w:val="18"/>
                <w:szCs w:val="18"/>
              </w:rPr>
            </w:pPr>
            <w:r w:rsidRPr="0029453F">
              <w:rPr>
                <w:rFonts w:cs="Arial"/>
                <w:sz w:val="18"/>
                <w:szCs w:val="18"/>
              </w:rPr>
              <w:t xml:space="preserve">Innerhalb des Anlagekonzepts </w:t>
            </w:r>
            <w:r w:rsidR="00D765C6">
              <w:rPr>
                <w:rFonts w:cs="Arial"/>
                <w:sz w:val="18"/>
                <w:szCs w:val="18"/>
              </w:rPr>
              <w:t>ROK Zukunft</w:t>
            </w:r>
            <w:r w:rsidRPr="0029453F">
              <w:rPr>
                <w:rFonts w:cs="Arial"/>
                <w:sz w:val="18"/>
                <w:szCs w:val="18"/>
              </w:rPr>
              <w:t xml:space="preserve"> </w:t>
            </w:r>
            <w:r>
              <w:rPr>
                <w:rFonts w:cs="Arial"/>
                <w:sz w:val="18"/>
                <w:szCs w:val="18"/>
              </w:rPr>
              <w:t>wurden</w:t>
            </w:r>
            <w:r w:rsidRPr="0029453F">
              <w:rPr>
                <w:rFonts w:cs="Arial"/>
                <w:sz w:val="18"/>
                <w:szCs w:val="18"/>
              </w:rPr>
              <w:t xml:space="preserve"> Investitionen getätigt, die der Definition einer „nachhaltigen Investition“ gemäß Art. 2 (17) der Offenlegungsverordnung (EU) 2019/2088 entsprechen.</w:t>
            </w:r>
            <w:r>
              <w:rPr>
                <w:rFonts w:cs="Arial"/>
                <w:sz w:val="18"/>
                <w:szCs w:val="18"/>
              </w:rPr>
              <w:t xml:space="preserve"> Weitere Informationen zur Definition einer nachhaltigen Investition sind unter folgenden Abschnitten aufgeführt:</w:t>
            </w:r>
          </w:p>
          <w:p w14:paraId="03BCA307" w14:textId="77777777" w:rsidR="00C34383" w:rsidRPr="00AB1601" w:rsidRDefault="00C34383" w:rsidP="00AF1B16">
            <w:pPr>
              <w:pStyle w:val="Listenabsatz"/>
              <w:numPr>
                <w:ilvl w:val="0"/>
                <w:numId w:val="22"/>
              </w:numPr>
              <w:spacing w:after="23"/>
              <w:ind w:left="879" w:right="360"/>
              <w:jc w:val="both"/>
              <w:textAlignment w:val="baseline"/>
              <w:rPr>
                <w:rFonts w:cs="Arial"/>
                <w:noProof/>
                <w:sz w:val="18"/>
                <w:szCs w:val="18"/>
              </w:rPr>
            </w:pPr>
            <w:r>
              <w:rPr>
                <w:rFonts w:cs="Arial"/>
                <w:noProof/>
                <w:sz w:val="18"/>
                <w:szCs w:val="18"/>
              </w:rPr>
              <w:t>‚</w:t>
            </w:r>
            <w:r w:rsidRPr="00AB1601">
              <w:rPr>
                <w:rFonts w:cs="Arial"/>
                <w:noProof/>
                <w:sz w:val="18"/>
                <w:szCs w:val="18"/>
              </w:rPr>
              <w:t>Welche Ziele verfolgten die nachhaltigen Investitionen, die mit dem Finanzprodukt teilweise getätigt wurden, und wie trägt die nachhaltige Investition zu diese, Zielen bei?</w:t>
            </w:r>
            <w:r>
              <w:rPr>
                <w:rFonts w:cs="Arial"/>
                <w:noProof/>
                <w:sz w:val="18"/>
                <w:szCs w:val="18"/>
              </w:rPr>
              <w:t>‘</w:t>
            </w:r>
          </w:p>
          <w:p w14:paraId="3125737E" w14:textId="77777777" w:rsidR="00243751" w:rsidRDefault="00C34383" w:rsidP="00AF1B16">
            <w:pPr>
              <w:pStyle w:val="Listenabsatz"/>
              <w:numPr>
                <w:ilvl w:val="0"/>
                <w:numId w:val="22"/>
              </w:numPr>
              <w:spacing w:after="23"/>
              <w:ind w:left="879" w:right="360"/>
              <w:jc w:val="both"/>
              <w:textAlignment w:val="baseline"/>
              <w:rPr>
                <w:rFonts w:cs="Arial"/>
                <w:noProof/>
                <w:sz w:val="18"/>
                <w:szCs w:val="18"/>
              </w:rPr>
            </w:pPr>
            <w:r>
              <w:rPr>
                <w:rFonts w:cs="Arial"/>
                <w:noProof/>
                <w:sz w:val="18"/>
                <w:szCs w:val="18"/>
              </w:rPr>
              <w:t>‚</w:t>
            </w:r>
            <w:r w:rsidRPr="00AB1601">
              <w:rPr>
                <w:rFonts w:cs="Arial"/>
                <w:noProof/>
                <w:sz w:val="18"/>
                <w:szCs w:val="18"/>
              </w:rPr>
              <w:t>Inwiefern haben die nachhaltigen Investitionen, die mit dem Finanzprodukt teilweise getätigt wurden, ökologisch oder sozial nachhaltigen Anlagezielen nicht erheblich geschadet?</w:t>
            </w:r>
            <w:r>
              <w:rPr>
                <w:rFonts w:cs="Arial"/>
                <w:noProof/>
                <w:sz w:val="18"/>
                <w:szCs w:val="18"/>
              </w:rPr>
              <w:t>‘</w:t>
            </w:r>
          </w:p>
          <w:p w14:paraId="677D086E" w14:textId="77777777" w:rsidR="00243751" w:rsidRDefault="00243751" w:rsidP="00AF1B16">
            <w:pPr>
              <w:spacing w:after="23"/>
              <w:ind w:right="360"/>
              <w:jc w:val="both"/>
              <w:textAlignment w:val="baseline"/>
              <w:rPr>
                <w:rFonts w:cs="Arial"/>
                <w:noProof/>
                <w:sz w:val="18"/>
                <w:szCs w:val="18"/>
              </w:rPr>
            </w:pPr>
          </w:p>
          <w:p w14:paraId="2832ABEC" w14:textId="77777777" w:rsidR="00243751" w:rsidRDefault="00243751" w:rsidP="00AF1B16">
            <w:pPr>
              <w:pStyle w:val="Listenabsatz"/>
              <w:numPr>
                <w:ilvl w:val="0"/>
                <w:numId w:val="23"/>
              </w:numPr>
              <w:spacing w:after="23"/>
              <w:ind w:right="360"/>
              <w:jc w:val="both"/>
              <w:textAlignment w:val="baseline"/>
              <w:rPr>
                <w:rFonts w:cs="Arial"/>
                <w:b/>
                <w:bCs/>
                <w:noProof/>
                <w:sz w:val="18"/>
                <w:szCs w:val="18"/>
              </w:rPr>
            </w:pPr>
            <w:r w:rsidRPr="00681034">
              <w:rPr>
                <w:rFonts w:cs="Arial"/>
                <w:b/>
                <w:bCs/>
                <w:noProof/>
                <w:sz w:val="18"/>
                <w:szCs w:val="18"/>
              </w:rPr>
              <w:t>CO2-Fußbadruck im Vergleich zur Benchmark</w:t>
            </w:r>
          </w:p>
          <w:p w14:paraId="2B3394B1" w14:textId="77777777" w:rsidR="00FC602A" w:rsidRDefault="00FC602A" w:rsidP="00AF1B16">
            <w:pPr>
              <w:spacing w:after="23"/>
              <w:ind w:left="460" w:right="360"/>
              <w:jc w:val="both"/>
              <w:textAlignment w:val="baseline"/>
              <w:rPr>
                <w:rFonts w:cs="Arial"/>
                <w:noProof/>
                <w:sz w:val="18"/>
                <w:szCs w:val="18"/>
              </w:rPr>
            </w:pPr>
            <w:r>
              <w:rPr>
                <w:rFonts w:cs="Arial"/>
                <w:noProof/>
                <w:sz w:val="18"/>
                <w:szCs w:val="18"/>
              </w:rPr>
              <w:t xml:space="preserve">Unter Einbezug der CO2-Strategie des Konzerns Versicherungskammer wurde der </w:t>
            </w:r>
            <w:r w:rsidRPr="00681034">
              <w:rPr>
                <w:rFonts w:cs="Arial"/>
                <w:noProof/>
                <w:sz w:val="18"/>
                <w:szCs w:val="18"/>
              </w:rPr>
              <w:t xml:space="preserve">CO2-Fußabdruck </w:t>
            </w:r>
            <w:r>
              <w:rPr>
                <w:rFonts w:cs="Arial"/>
                <w:noProof/>
                <w:sz w:val="18"/>
                <w:szCs w:val="18"/>
              </w:rPr>
              <w:t xml:space="preserve">des Anlagekonzepts </w:t>
            </w:r>
            <w:r w:rsidRPr="00681034">
              <w:rPr>
                <w:rFonts w:cs="Arial"/>
                <w:noProof/>
                <w:sz w:val="18"/>
                <w:szCs w:val="18"/>
              </w:rPr>
              <w:t xml:space="preserve">im Vergleich zum Referenzwert </w:t>
            </w:r>
            <w:r>
              <w:rPr>
                <w:rFonts w:cs="Arial"/>
                <w:noProof/>
                <w:sz w:val="18"/>
                <w:szCs w:val="18"/>
              </w:rPr>
              <w:t>einer</w:t>
            </w:r>
            <w:r w:rsidRPr="00681034">
              <w:rPr>
                <w:rFonts w:cs="Arial"/>
                <w:noProof/>
                <w:sz w:val="18"/>
                <w:szCs w:val="18"/>
              </w:rPr>
              <w:t xml:space="preserve"> </w:t>
            </w:r>
            <w:r>
              <w:rPr>
                <w:rFonts w:cs="Arial"/>
                <w:noProof/>
                <w:sz w:val="18"/>
                <w:szCs w:val="18"/>
              </w:rPr>
              <w:t>strategieähnlichen</w:t>
            </w:r>
            <w:r w:rsidRPr="00681034">
              <w:rPr>
                <w:rFonts w:cs="Arial"/>
                <w:noProof/>
                <w:sz w:val="18"/>
                <w:szCs w:val="18"/>
              </w:rPr>
              <w:t xml:space="preserve"> </w:t>
            </w:r>
            <w:r>
              <w:rPr>
                <w:rFonts w:cs="Arial"/>
                <w:noProof/>
                <w:sz w:val="18"/>
                <w:szCs w:val="18"/>
              </w:rPr>
              <w:t>Benchmark als weiteres ökologisches Merkmal berücksichtigt.</w:t>
            </w:r>
          </w:p>
          <w:p w14:paraId="55FFA699" w14:textId="367F76BA" w:rsidR="00FB4811" w:rsidRPr="00243751" w:rsidRDefault="00FB4811" w:rsidP="00AF1B16">
            <w:pPr>
              <w:pStyle w:val="Listenabsatz"/>
              <w:spacing w:after="23"/>
              <w:ind w:left="468" w:right="360"/>
              <w:jc w:val="both"/>
              <w:textAlignment w:val="baseline"/>
              <w:rPr>
                <w:rFonts w:cs="Arial"/>
                <w:noProof/>
                <w:sz w:val="18"/>
                <w:szCs w:val="18"/>
              </w:rPr>
            </w:pPr>
          </w:p>
        </w:tc>
      </w:tr>
      <w:tr w:rsidR="00FB4811" w14:paraId="1A3A6881" w14:textId="77777777" w:rsidTr="00EA5280">
        <w:tc>
          <w:tcPr>
            <w:tcW w:w="1702" w:type="dxa"/>
            <w:vMerge w:val="restart"/>
            <w:shd w:val="pct5" w:color="auto" w:fill="auto"/>
            <w:vAlign w:val="bottom"/>
          </w:tcPr>
          <w:p w14:paraId="63EAC209" w14:textId="77777777" w:rsidR="00FB4811" w:rsidRDefault="00B31CBF">
            <w:pPr>
              <w:rPr>
                <w:rFonts w:cs="Arial"/>
                <w:sz w:val="18"/>
                <w:szCs w:val="18"/>
              </w:rPr>
            </w:pPr>
            <w:r>
              <w:rPr>
                <w:rFonts w:cs="Arial"/>
                <w:szCs w:val="15"/>
              </w:rPr>
              <w:t xml:space="preserve">Mit </w:t>
            </w:r>
            <w:r>
              <w:rPr>
                <w:rFonts w:cs="Arial"/>
                <w:b/>
                <w:szCs w:val="15"/>
              </w:rPr>
              <w:t>Nachhaltigkeits</w:t>
            </w:r>
            <w:r>
              <w:rPr>
                <w:rFonts w:cs="Arial"/>
                <w:b/>
                <w:szCs w:val="15"/>
              </w:rPr>
              <w:softHyphen/>
              <w:t>indikatoren</w:t>
            </w:r>
            <w:r>
              <w:rPr>
                <w:rFonts w:cs="Arial"/>
                <w:szCs w:val="15"/>
              </w:rPr>
              <w:t xml:space="preserve"> wird gemessen, inwieweit die mit dem Finanzprodukt beworbenen ökologischen oder sozialen Merkmale erreicht werden.</w:t>
            </w:r>
          </w:p>
        </w:tc>
        <w:tc>
          <w:tcPr>
            <w:tcW w:w="572" w:type="dxa"/>
          </w:tcPr>
          <w:p w14:paraId="4022B0C8" w14:textId="77777777" w:rsidR="00FB4811" w:rsidRDefault="00FB4811">
            <w:pPr>
              <w:spacing w:after="23" w:line="264" w:lineRule="exact"/>
              <w:ind w:left="108" w:right="360"/>
              <w:textAlignment w:val="baseline"/>
              <w:rPr>
                <w:rFonts w:eastAsia="Calibri" w:cs="Arial"/>
                <w:b/>
                <w:color w:val="000000"/>
                <w:sz w:val="18"/>
                <w:szCs w:val="18"/>
              </w:rPr>
            </w:pPr>
          </w:p>
        </w:tc>
        <w:tc>
          <w:tcPr>
            <w:tcW w:w="8216" w:type="dxa"/>
            <w:vMerge/>
            <w:shd w:val="clear" w:color="auto" w:fill="auto"/>
          </w:tcPr>
          <w:p w14:paraId="0DE4B683" w14:textId="77777777" w:rsidR="00FB4811" w:rsidRDefault="00FB4811">
            <w:pPr>
              <w:spacing w:after="23"/>
              <w:ind w:left="108" w:right="360"/>
              <w:textAlignment w:val="baseline"/>
              <w:rPr>
                <w:rFonts w:cs="Arial"/>
                <w:noProof/>
                <w:sz w:val="18"/>
                <w:szCs w:val="18"/>
              </w:rPr>
            </w:pPr>
          </w:p>
        </w:tc>
      </w:tr>
      <w:tr w:rsidR="00FB4811" w:rsidRPr="00B31CBF" w14:paraId="64BE62ED" w14:textId="77777777" w:rsidTr="00EA5280">
        <w:tc>
          <w:tcPr>
            <w:tcW w:w="1702" w:type="dxa"/>
            <w:vMerge/>
            <w:shd w:val="pct5" w:color="auto" w:fill="auto"/>
          </w:tcPr>
          <w:p w14:paraId="4DC7D715" w14:textId="77777777" w:rsidR="00FB4811" w:rsidRDefault="00FB4811">
            <w:pPr>
              <w:rPr>
                <w:rFonts w:eastAsia="Calibri" w:cs="Arial"/>
                <w:b/>
                <w:color w:val="000000"/>
                <w:sz w:val="18"/>
                <w:szCs w:val="18"/>
              </w:rPr>
            </w:pPr>
          </w:p>
        </w:tc>
        <w:tc>
          <w:tcPr>
            <w:tcW w:w="572" w:type="dxa"/>
          </w:tcPr>
          <w:p w14:paraId="06931FA4" w14:textId="77777777" w:rsidR="00FB4811" w:rsidRDefault="00FB4811">
            <w:pPr>
              <w:spacing w:before="240"/>
              <w:rPr>
                <w:rFonts w:eastAsia="Calibri" w:cs="Arial"/>
                <w:b/>
                <w:i/>
                <w:color w:val="000000"/>
                <w:sz w:val="18"/>
                <w:szCs w:val="18"/>
              </w:rPr>
            </w:pPr>
          </w:p>
        </w:tc>
        <w:tc>
          <w:tcPr>
            <w:tcW w:w="8216" w:type="dxa"/>
            <w:shd w:val="clear" w:color="auto" w:fill="auto"/>
          </w:tcPr>
          <w:p w14:paraId="55319657" w14:textId="4A74B3DF" w:rsidR="00FB4811" w:rsidRDefault="00B31CBF">
            <w:pPr>
              <w:spacing w:before="240"/>
              <w:rPr>
                <w:rFonts w:cs="Arial"/>
                <w:b/>
                <w:i/>
                <w:noProof/>
                <w:sz w:val="18"/>
                <w:szCs w:val="18"/>
              </w:rPr>
            </w:pPr>
            <w:r w:rsidRPr="00B31CBF">
              <w:rPr>
                <w:rFonts w:cs="Arial"/>
                <w:b/>
                <w:noProof/>
                <w:sz w:val="18"/>
                <w:szCs w:val="18"/>
              </w:rPr>
              <w:drawing>
                <wp:anchor distT="0" distB="0" distL="114300" distR="114300" simplePos="0" relativeHeight="251705344" behindDoc="1" locked="0" layoutInCell="1" allowOverlap="1" wp14:anchorId="09455012" wp14:editId="431D732B">
                  <wp:simplePos x="0" y="0"/>
                  <wp:positionH relativeFrom="column">
                    <wp:posOffset>-265430</wp:posOffset>
                  </wp:positionH>
                  <wp:positionV relativeFrom="paragraph">
                    <wp:posOffset>119730</wp:posOffset>
                  </wp:positionV>
                  <wp:extent cx="245533" cy="203200"/>
                  <wp:effectExtent l="0" t="0" r="2540" b="635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sidRPr="00B31CBF">
              <w:rPr>
                <w:rFonts w:cs="Arial"/>
                <w:b/>
                <w:i/>
                <w:noProof/>
                <w:sz w:val="18"/>
                <w:szCs w:val="18"/>
              </w:rPr>
              <w:t>Wie haben die Nachhaltigkeitsindikatoren abgeschnitten?</w:t>
            </w:r>
            <w:r w:rsidR="00C34383">
              <w:rPr>
                <w:rFonts w:cs="Arial"/>
                <w:b/>
                <w:i/>
                <w:noProof/>
                <w:sz w:val="18"/>
                <w:szCs w:val="18"/>
              </w:rPr>
              <w:br/>
            </w:r>
          </w:p>
          <w:tbl>
            <w:tblPr>
              <w:tblStyle w:val="Tabellenraster"/>
              <w:tblW w:w="8051" w:type="dxa"/>
              <w:tblLayout w:type="fixed"/>
              <w:tblLook w:val="04A0" w:firstRow="1" w:lastRow="0" w:firstColumn="1" w:lastColumn="0" w:noHBand="0" w:noVBand="1"/>
            </w:tblPr>
            <w:tblGrid>
              <w:gridCol w:w="2438"/>
              <w:gridCol w:w="1276"/>
              <w:gridCol w:w="1276"/>
              <w:gridCol w:w="3061"/>
            </w:tblGrid>
            <w:tr w:rsidR="00C34383" w:rsidRPr="00592243" w14:paraId="5C693805" w14:textId="77777777" w:rsidTr="008B6884">
              <w:tc>
                <w:tcPr>
                  <w:tcW w:w="2438" w:type="dxa"/>
                  <w:vAlign w:val="center"/>
                </w:tcPr>
                <w:p w14:paraId="5BD3A683" w14:textId="77777777" w:rsidR="00C34383" w:rsidRPr="00592243" w:rsidRDefault="00C34383" w:rsidP="00C34383">
                  <w:pPr>
                    <w:spacing w:before="120" w:after="120"/>
                    <w:rPr>
                      <w:rFonts w:cs="Arial"/>
                      <w:b/>
                      <w:sz w:val="16"/>
                      <w:szCs w:val="16"/>
                    </w:rPr>
                  </w:pPr>
                  <w:r>
                    <w:rPr>
                      <w:rFonts w:cs="Arial"/>
                      <w:b/>
                      <w:sz w:val="16"/>
                      <w:szCs w:val="16"/>
                    </w:rPr>
                    <w:br/>
                  </w:r>
                </w:p>
              </w:tc>
              <w:tc>
                <w:tcPr>
                  <w:tcW w:w="1276" w:type="dxa"/>
                  <w:vAlign w:val="center"/>
                </w:tcPr>
                <w:p w14:paraId="61A7D438" w14:textId="7E3B1AEE" w:rsidR="00C34383" w:rsidRPr="00592243" w:rsidRDefault="00C34383" w:rsidP="00C34383">
                  <w:pPr>
                    <w:spacing w:before="120" w:after="120"/>
                    <w:rPr>
                      <w:rFonts w:cs="Arial"/>
                      <w:b/>
                      <w:sz w:val="16"/>
                      <w:szCs w:val="16"/>
                    </w:rPr>
                  </w:pPr>
                  <w:r w:rsidRPr="00592243">
                    <w:rPr>
                      <w:rFonts w:cs="Arial"/>
                      <w:b/>
                      <w:sz w:val="16"/>
                      <w:szCs w:val="16"/>
                    </w:rPr>
                    <w:t xml:space="preserve">Ergebnis </w:t>
                  </w:r>
                  <w:r w:rsidR="0077156C">
                    <w:rPr>
                      <w:rFonts w:cs="Arial"/>
                      <w:b/>
                      <w:sz w:val="16"/>
                      <w:szCs w:val="16"/>
                    </w:rPr>
                    <w:t>im Berichtszeit-raum 2023</w:t>
                  </w:r>
                </w:p>
              </w:tc>
              <w:tc>
                <w:tcPr>
                  <w:tcW w:w="1276" w:type="dxa"/>
                  <w:vAlign w:val="center"/>
                </w:tcPr>
                <w:p w14:paraId="7E854002" w14:textId="4C695616" w:rsidR="00C34383" w:rsidRPr="00592243" w:rsidRDefault="00C34383" w:rsidP="00C34383">
                  <w:pPr>
                    <w:spacing w:before="120" w:after="120"/>
                    <w:rPr>
                      <w:rFonts w:cs="Arial"/>
                      <w:b/>
                      <w:sz w:val="16"/>
                      <w:szCs w:val="16"/>
                    </w:rPr>
                  </w:pPr>
                  <w:r w:rsidRPr="00592243">
                    <w:rPr>
                      <w:rFonts w:cs="Arial"/>
                      <w:b/>
                      <w:sz w:val="16"/>
                      <w:szCs w:val="16"/>
                    </w:rPr>
                    <w:t xml:space="preserve">Ergebnis </w:t>
                  </w:r>
                  <w:r w:rsidR="0077156C">
                    <w:rPr>
                      <w:rFonts w:cs="Arial"/>
                      <w:b/>
                      <w:sz w:val="16"/>
                      <w:szCs w:val="16"/>
                    </w:rPr>
                    <w:t>im Vorjahreszeit-raum 2022</w:t>
                  </w:r>
                </w:p>
              </w:tc>
              <w:tc>
                <w:tcPr>
                  <w:tcW w:w="3061" w:type="dxa"/>
                  <w:vAlign w:val="center"/>
                </w:tcPr>
                <w:p w14:paraId="58F57A7F" w14:textId="77777777" w:rsidR="00C34383" w:rsidRPr="00592243" w:rsidRDefault="00C34383" w:rsidP="00C34383">
                  <w:pPr>
                    <w:spacing w:before="120" w:after="120"/>
                    <w:rPr>
                      <w:rFonts w:cs="Arial"/>
                      <w:b/>
                      <w:sz w:val="16"/>
                      <w:szCs w:val="16"/>
                    </w:rPr>
                  </w:pPr>
                  <w:r w:rsidRPr="00592243">
                    <w:rPr>
                      <w:rFonts w:cs="Arial"/>
                      <w:b/>
                      <w:sz w:val="16"/>
                      <w:szCs w:val="16"/>
                    </w:rPr>
                    <w:t>Erläuterung</w:t>
                  </w:r>
                </w:p>
              </w:tc>
            </w:tr>
            <w:tr w:rsidR="00C34383" w:rsidRPr="00592243" w14:paraId="40708824" w14:textId="77777777" w:rsidTr="008B6884">
              <w:tc>
                <w:tcPr>
                  <w:tcW w:w="2438" w:type="dxa"/>
                  <w:vAlign w:val="center"/>
                </w:tcPr>
                <w:p w14:paraId="4B970882" w14:textId="77777777" w:rsidR="00C34383" w:rsidRPr="00592243" w:rsidRDefault="00C34383" w:rsidP="00C34383">
                  <w:pPr>
                    <w:spacing w:before="120" w:after="120"/>
                    <w:rPr>
                      <w:rFonts w:cs="Arial"/>
                      <w:sz w:val="16"/>
                      <w:szCs w:val="16"/>
                    </w:rPr>
                  </w:pPr>
                  <w:r w:rsidRPr="0029453F">
                    <w:rPr>
                      <w:rFonts w:cs="Arial"/>
                      <w:sz w:val="16"/>
                      <w:szCs w:val="16"/>
                    </w:rPr>
                    <w:t>Anteil von Kapitalanlagen in Vermögensgegenstände, die den Mindeststandard des Konzerns erfüllen</w:t>
                  </w:r>
                </w:p>
              </w:tc>
              <w:tc>
                <w:tcPr>
                  <w:tcW w:w="1276" w:type="dxa"/>
                  <w:vAlign w:val="center"/>
                </w:tcPr>
                <w:p w14:paraId="7C2E4441" w14:textId="728BC610" w:rsidR="00C34383" w:rsidRPr="00592243" w:rsidRDefault="0077156C" w:rsidP="00C34383">
                  <w:pPr>
                    <w:spacing w:before="120" w:after="120"/>
                    <w:jc w:val="center"/>
                    <w:rPr>
                      <w:rFonts w:cs="Arial"/>
                      <w:sz w:val="16"/>
                      <w:szCs w:val="16"/>
                    </w:rPr>
                  </w:pPr>
                  <w:r>
                    <w:rPr>
                      <w:rFonts w:cs="Arial"/>
                      <w:sz w:val="16"/>
                      <w:szCs w:val="16"/>
                    </w:rPr>
                    <w:t>92,37%</w:t>
                  </w:r>
                </w:p>
              </w:tc>
              <w:tc>
                <w:tcPr>
                  <w:tcW w:w="1276" w:type="dxa"/>
                  <w:vAlign w:val="center"/>
                </w:tcPr>
                <w:p w14:paraId="15FD7A6F" w14:textId="6A445FFF" w:rsidR="00C34383" w:rsidRPr="00592243" w:rsidRDefault="00D765C6" w:rsidP="00C34383">
                  <w:pPr>
                    <w:spacing w:before="120" w:after="120"/>
                    <w:jc w:val="center"/>
                    <w:rPr>
                      <w:rFonts w:cs="Arial"/>
                      <w:bCs/>
                      <w:sz w:val="16"/>
                      <w:szCs w:val="16"/>
                    </w:rPr>
                  </w:pPr>
                  <w:r>
                    <w:rPr>
                      <w:rFonts w:cs="Arial"/>
                      <w:bCs/>
                      <w:sz w:val="16"/>
                      <w:szCs w:val="16"/>
                    </w:rPr>
                    <w:t>83</w:t>
                  </w:r>
                  <w:r w:rsidR="00C34383">
                    <w:rPr>
                      <w:rFonts w:cs="Arial"/>
                      <w:bCs/>
                      <w:sz w:val="16"/>
                      <w:szCs w:val="16"/>
                    </w:rPr>
                    <w:t>,</w:t>
                  </w:r>
                  <w:r>
                    <w:rPr>
                      <w:rFonts w:cs="Arial"/>
                      <w:bCs/>
                      <w:sz w:val="16"/>
                      <w:szCs w:val="16"/>
                    </w:rPr>
                    <w:t>74</w:t>
                  </w:r>
                  <w:r w:rsidR="00C34383">
                    <w:rPr>
                      <w:rFonts w:cs="Arial"/>
                      <w:bCs/>
                      <w:sz w:val="16"/>
                      <w:szCs w:val="16"/>
                    </w:rPr>
                    <w:t>%</w:t>
                  </w:r>
                </w:p>
              </w:tc>
              <w:tc>
                <w:tcPr>
                  <w:tcW w:w="3061" w:type="dxa"/>
                  <w:vAlign w:val="center"/>
                </w:tcPr>
                <w:p w14:paraId="384EC1E0" w14:textId="77777777" w:rsidR="00C34383" w:rsidRPr="00AB1601" w:rsidRDefault="00C34383" w:rsidP="00C34383">
                  <w:pPr>
                    <w:spacing w:before="120" w:after="120"/>
                    <w:rPr>
                      <w:rFonts w:cs="Arial"/>
                      <w:bCs/>
                      <w:sz w:val="16"/>
                      <w:szCs w:val="16"/>
                    </w:rPr>
                  </w:pPr>
                  <w:r w:rsidRPr="00AB1601">
                    <w:rPr>
                      <w:rFonts w:cs="Arial"/>
                      <w:bCs/>
                      <w:sz w:val="16"/>
                      <w:szCs w:val="16"/>
                    </w:rPr>
                    <w:t>Die Ausschlüsse werden derzeit nur bei gezielten Investitionen sichergestellt. Bei Anlagen über nichtindividualisierte Ziel- oder passive Indexfonds, ist es möglich</w:t>
                  </w:r>
                  <w:r>
                    <w:rPr>
                      <w:rFonts w:cs="Arial"/>
                      <w:bCs/>
                      <w:sz w:val="16"/>
                      <w:szCs w:val="16"/>
                    </w:rPr>
                    <w:t>,</w:t>
                  </w:r>
                  <w:r w:rsidRPr="00AB1601">
                    <w:rPr>
                      <w:rFonts w:cs="Arial"/>
                      <w:bCs/>
                      <w:sz w:val="16"/>
                      <w:szCs w:val="16"/>
                    </w:rPr>
                    <w:t xml:space="preserve"> dass indirekt in entsprechende Unternehmen investiert wird. Zudem fand die Erweiterung der Ausschlüsse erst im Laufe des Geschäftsjahres statt.</w:t>
                  </w:r>
                </w:p>
              </w:tc>
            </w:tr>
            <w:tr w:rsidR="00C34383" w:rsidRPr="00592243" w14:paraId="6D8E3104" w14:textId="77777777" w:rsidTr="008B6884">
              <w:tc>
                <w:tcPr>
                  <w:tcW w:w="2438" w:type="dxa"/>
                  <w:vAlign w:val="center"/>
                </w:tcPr>
                <w:p w14:paraId="382397C8" w14:textId="77777777" w:rsidR="00C34383" w:rsidRPr="00592243" w:rsidRDefault="00C34383" w:rsidP="00C34383">
                  <w:pPr>
                    <w:spacing w:before="120" w:after="120"/>
                    <w:rPr>
                      <w:rFonts w:cs="Arial"/>
                      <w:b/>
                      <w:sz w:val="16"/>
                      <w:szCs w:val="16"/>
                    </w:rPr>
                  </w:pPr>
                  <w:r w:rsidRPr="00592243">
                    <w:rPr>
                      <w:rFonts w:cs="Arial"/>
                      <w:sz w:val="16"/>
                      <w:szCs w:val="16"/>
                    </w:rPr>
                    <w:t xml:space="preserve">Anteil von Kapitalanlagen in Agrarrohstoffe und Finanzinstrumente zur </w:t>
                  </w:r>
                  <w:r w:rsidRPr="00592243">
                    <w:rPr>
                      <w:rFonts w:cs="Arial"/>
                      <w:sz w:val="16"/>
                      <w:szCs w:val="16"/>
                    </w:rPr>
                    <w:lastRenderedPageBreak/>
                    <w:t>Spekulation auf Nahrungsmittel</w:t>
                  </w:r>
                </w:p>
              </w:tc>
              <w:tc>
                <w:tcPr>
                  <w:tcW w:w="1276" w:type="dxa"/>
                  <w:vAlign w:val="center"/>
                </w:tcPr>
                <w:p w14:paraId="4882B12B" w14:textId="4590F7DB" w:rsidR="00C34383" w:rsidRPr="00592243" w:rsidRDefault="0077156C" w:rsidP="00C34383">
                  <w:pPr>
                    <w:spacing w:before="120" w:after="120"/>
                    <w:jc w:val="center"/>
                    <w:rPr>
                      <w:rFonts w:cs="Arial"/>
                      <w:sz w:val="16"/>
                      <w:szCs w:val="16"/>
                    </w:rPr>
                  </w:pPr>
                  <w:r w:rsidRPr="00592243">
                    <w:rPr>
                      <w:rFonts w:cs="Arial"/>
                      <w:bCs/>
                      <w:sz w:val="16"/>
                      <w:szCs w:val="16"/>
                    </w:rPr>
                    <w:lastRenderedPageBreak/>
                    <w:t>0</w:t>
                  </w:r>
                  <w:r>
                    <w:rPr>
                      <w:rFonts w:cs="Arial"/>
                      <w:bCs/>
                      <w:sz w:val="16"/>
                      <w:szCs w:val="16"/>
                    </w:rPr>
                    <w:t>,00</w:t>
                  </w:r>
                  <w:r w:rsidRPr="00592243">
                    <w:rPr>
                      <w:rFonts w:cs="Arial"/>
                      <w:bCs/>
                      <w:sz w:val="16"/>
                      <w:szCs w:val="16"/>
                    </w:rPr>
                    <w:t>%</w:t>
                  </w:r>
                </w:p>
              </w:tc>
              <w:tc>
                <w:tcPr>
                  <w:tcW w:w="1276" w:type="dxa"/>
                  <w:vAlign w:val="center"/>
                </w:tcPr>
                <w:p w14:paraId="58D38C78" w14:textId="6FFDEBAF" w:rsidR="00C34383" w:rsidRPr="00592243" w:rsidRDefault="00C34383" w:rsidP="00C34383">
                  <w:pPr>
                    <w:spacing w:before="120" w:after="120"/>
                    <w:jc w:val="center"/>
                    <w:rPr>
                      <w:rFonts w:cs="Arial"/>
                      <w:bCs/>
                      <w:sz w:val="16"/>
                      <w:szCs w:val="16"/>
                    </w:rPr>
                  </w:pPr>
                  <w:r w:rsidRPr="00592243">
                    <w:rPr>
                      <w:rFonts w:cs="Arial"/>
                      <w:bCs/>
                      <w:sz w:val="16"/>
                      <w:szCs w:val="16"/>
                    </w:rPr>
                    <w:t>0</w:t>
                  </w:r>
                  <w:r w:rsidR="00D765C6">
                    <w:rPr>
                      <w:rFonts w:cs="Arial"/>
                      <w:bCs/>
                      <w:sz w:val="16"/>
                      <w:szCs w:val="16"/>
                    </w:rPr>
                    <w:t>,00</w:t>
                  </w:r>
                  <w:r w:rsidRPr="00592243">
                    <w:rPr>
                      <w:rFonts w:cs="Arial"/>
                      <w:bCs/>
                      <w:sz w:val="16"/>
                      <w:szCs w:val="16"/>
                    </w:rPr>
                    <w:t>%</w:t>
                  </w:r>
                </w:p>
              </w:tc>
              <w:tc>
                <w:tcPr>
                  <w:tcW w:w="3061" w:type="dxa"/>
                  <w:vAlign w:val="center"/>
                </w:tcPr>
                <w:p w14:paraId="46C0CD3B" w14:textId="77777777" w:rsidR="00C34383" w:rsidRPr="00592243" w:rsidRDefault="00C34383" w:rsidP="00C34383">
                  <w:pPr>
                    <w:spacing w:before="120" w:after="120"/>
                    <w:rPr>
                      <w:rFonts w:cs="Arial"/>
                      <w:b/>
                      <w:sz w:val="16"/>
                      <w:szCs w:val="16"/>
                    </w:rPr>
                  </w:pPr>
                </w:p>
              </w:tc>
            </w:tr>
            <w:tr w:rsidR="00C34383" w:rsidRPr="00592243" w14:paraId="2A015D8F" w14:textId="77777777" w:rsidTr="008B6884">
              <w:tc>
                <w:tcPr>
                  <w:tcW w:w="2438" w:type="dxa"/>
                  <w:vAlign w:val="center"/>
                </w:tcPr>
                <w:p w14:paraId="02FB4577" w14:textId="77777777" w:rsidR="00C34383" w:rsidRPr="00592243" w:rsidRDefault="00C34383" w:rsidP="00C34383">
                  <w:pPr>
                    <w:spacing w:before="120" w:after="120"/>
                    <w:rPr>
                      <w:rFonts w:cs="Arial"/>
                      <w:sz w:val="16"/>
                      <w:szCs w:val="16"/>
                    </w:rPr>
                  </w:pPr>
                  <w:r w:rsidRPr="00592243">
                    <w:rPr>
                      <w:rFonts w:cs="Arial"/>
                      <w:sz w:val="16"/>
                      <w:szCs w:val="16"/>
                    </w:rPr>
                    <w:t>Anteil von Kapitalanlagen in Unternehmen mit schwerwiegenden Verstößen gegen die 10 grundlegenden Prinzipien für die Bereiche Menschenrechte, Arbeitsnormen, Umwelt und Korruptionsprävention des UN Global Compact</w:t>
                  </w:r>
                </w:p>
              </w:tc>
              <w:tc>
                <w:tcPr>
                  <w:tcW w:w="1276" w:type="dxa"/>
                  <w:vAlign w:val="center"/>
                </w:tcPr>
                <w:p w14:paraId="7CA4A5FE" w14:textId="11D67318" w:rsidR="00C34383" w:rsidRPr="00592243" w:rsidRDefault="0077156C" w:rsidP="00C34383">
                  <w:pPr>
                    <w:spacing w:before="120" w:after="120"/>
                    <w:jc w:val="center"/>
                    <w:rPr>
                      <w:rFonts w:cs="Arial"/>
                      <w:sz w:val="16"/>
                      <w:szCs w:val="16"/>
                    </w:rPr>
                  </w:pPr>
                  <w:r>
                    <w:rPr>
                      <w:rFonts w:cs="Arial"/>
                      <w:sz w:val="16"/>
                      <w:szCs w:val="16"/>
                    </w:rPr>
                    <w:t>0,03%</w:t>
                  </w:r>
                </w:p>
              </w:tc>
              <w:tc>
                <w:tcPr>
                  <w:tcW w:w="1276" w:type="dxa"/>
                  <w:vAlign w:val="center"/>
                </w:tcPr>
                <w:p w14:paraId="5380F138" w14:textId="63113FA3" w:rsidR="00C34383" w:rsidRPr="00592243" w:rsidRDefault="00C34383" w:rsidP="00C34383">
                  <w:pPr>
                    <w:spacing w:before="120" w:after="120"/>
                    <w:jc w:val="center"/>
                    <w:rPr>
                      <w:rFonts w:cs="Arial"/>
                      <w:bCs/>
                      <w:sz w:val="16"/>
                      <w:szCs w:val="16"/>
                    </w:rPr>
                  </w:pPr>
                  <w:r w:rsidRPr="00592243">
                    <w:rPr>
                      <w:rFonts w:cs="Arial"/>
                      <w:bCs/>
                      <w:sz w:val="16"/>
                      <w:szCs w:val="16"/>
                    </w:rPr>
                    <w:t>0,</w:t>
                  </w:r>
                  <w:r w:rsidR="00D765C6">
                    <w:rPr>
                      <w:rFonts w:cs="Arial"/>
                      <w:bCs/>
                      <w:sz w:val="16"/>
                      <w:szCs w:val="16"/>
                    </w:rPr>
                    <w:t>12</w:t>
                  </w:r>
                  <w:r w:rsidRPr="00592243">
                    <w:rPr>
                      <w:rFonts w:cs="Arial"/>
                      <w:bCs/>
                      <w:sz w:val="16"/>
                      <w:szCs w:val="16"/>
                    </w:rPr>
                    <w:t>%</w:t>
                  </w:r>
                </w:p>
              </w:tc>
              <w:tc>
                <w:tcPr>
                  <w:tcW w:w="3061" w:type="dxa"/>
                  <w:vAlign w:val="center"/>
                </w:tcPr>
                <w:p w14:paraId="14B2CA23" w14:textId="77777777" w:rsidR="00C34383" w:rsidRPr="00592243" w:rsidRDefault="00C34383" w:rsidP="00C34383">
                  <w:pPr>
                    <w:spacing w:before="120" w:after="120"/>
                    <w:rPr>
                      <w:rFonts w:cs="Arial"/>
                      <w:sz w:val="16"/>
                      <w:szCs w:val="16"/>
                    </w:rPr>
                  </w:pPr>
                  <w:r w:rsidRPr="00592243">
                    <w:rPr>
                      <w:rFonts w:cs="Arial"/>
                      <w:sz w:val="16"/>
                      <w:szCs w:val="16"/>
                    </w:rPr>
                    <w:t>Der Ausschluss wird derzeit nur bei gezielten Investitionen sichergestellt. Bei Anlagen über nichtindividualisierte Ziel- oder passive Indexfonds, ist es möglich, dass indirekt in entsprechende Unternehmen investiert wird.</w:t>
                  </w:r>
                </w:p>
              </w:tc>
            </w:tr>
            <w:tr w:rsidR="00C34383" w:rsidRPr="00592243" w14:paraId="3EA78DAC" w14:textId="77777777" w:rsidTr="008B6884">
              <w:tc>
                <w:tcPr>
                  <w:tcW w:w="2438" w:type="dxa"/>
                  <w:vAlign w:val="center"/>
                </w:tcPr>
                <w:p w14:paraId="116EFD4F" w14:textId="77777777" w:rsidR="00C34383" w:rsidRPr="00592243" w:rsidRDefault="00C34383" w:rsidP="00C34383">
                  <w:pPr>
                    <w:spacing w:before="120" w:after="120"/>
                    <w:rPr>
                      <w:rFonts w:cs="Arial"/>
                      <w:sz w:val="16"/>
                      <w:szCs w:val="16"/>
                    </w:rPr>
                  </w:pPr>
                  <w:r w:rsidRPr="00592243">
                    <w:rPr>
                      <w:rFonts w:cs="Arial"/>
                      <w:sz w:val="16"/>
                      <w:szCs w:val="16"/>
                    </w:rPr>
                    <w:t>Anteil von Kapitalanlagen in Unternehmen, die an der Produktion kontroverser Waffen (inkl. Nuklearwaffen) beteiligt sind</w:t>
                  </w:r>
                </w:p>
              </w:tc>
              <w:tc>
                <w:tcPr>
                  <w:tcW w:w="1276" w:type="dxa"/>
                  <w:vAlign w:val="center"/>
                </w:tcPr>
                <w:p w14:paraId="69F888AD" w14:textId="65815ED4" w:rsidR="00C34383" w:rsidRPr="00592243" w:rsidRDefault="0077156C" w:rsidP="00C34383">
                  <w:pPr>
                    <w:spacing w:before="120" w:after="120"/>
                    <w:jc w:val="center"/>
                    <w:rPr>
                      <w:rFonts w:cs="Arial"/>
                      <w:sz w:val="16"/>
                      <w:szCs w:val="16"/>
                    </w:rPr>
                  </w:pPr>
                  <w:r w:rsidRPr="00592243">
                    <w:rPr>
                      <w:rFonts w:cs="Arial"/>
                      <w:bCs/>
                      <w:sz w:val="16"/>
                      <w:szCs w:val="16"/>
                    </w:rPr>
                    <w:t>0</w:t>
                  </w:r>
                  <w:r>
                    <w:rPr>
                      <w:rFonts w:cs="Arial"/>
                      <w:bCs/>
                      <w:sz w:val="16"/>
                      <w:szCs w:val="16"/>
                    </w:rPr>
                    <w:t>,00</w:t>
                  </w:r>
                  <w:r w:rsidRPr="00592243">
                    <w:rPr>
                      <w:rFonts w:cs="Arial"/>
                      <w:bCs/>
                      <w:sz w:val="16"/>
                      <w:szCs w:val="16"/>
                    </w:rPr>
                    <w:t>%</w:t>
                  </w:r>
                </w:p>
              </w:tc>
              <w:tc>
                <w:tcPr>
                  <w:tcW w:w="1276" w:type="dxa"/>
                  <w:vAlign w:val="center"/>
                </w:tcPr>
                <w:p w14:paraId="7EA051E6" w14:textId="58A680EA" w:rsidR="00C34383" w:rsidRPr="00592243" w:rsidRDefault="00C34383" w:rsidP="00C34383">
                  <w:pPr>
                    <w:spacing w:before="120" w:after="120"/>
                    <w:jc w:val="center"/>
                    <w:rPr>
                      <w:rFonts w:cs="Arial"/>
                      <w:bCs/>
                      <w:sz w:val="16"/>
                      <w:szCs w:val="16"/>
                    </w:rPr>
                  </w:pPr>
                  <w:r w:rsidRPr="00592243">
                    <w:rPr>
                      <w:rFonts w:cs="Arial"/>
                      <w:bCs/>
                      <w:sz w:val="16"/>
                      <w:szCs w:val="16"/>
                    </w:rPr>
                    <w:t>0</w:t>
                  </w:r>
                  <w:r w:rsidR="00D765C6">
                    <w:rPr>
                      <w:rFonts w:cs="Arial"/>
                      <w:bCs/>
                      <w:sz w:val="16"/>
                      <w:szCs w:val="16"/>
                    </w:rPr>
                    <w:t>,00</w:t>
                  </w:r>
                  <w:r w:rsidRPr="00592243">
                    <w:rPr>
                      <w:rFonts w:cs="Arial"/>
                      <w:bCs/>
                      <w:sz w:val="16"/>
                      <w:szCs w:val="16"/>
                    </w:rPr>
                    <w:t>%</w:t>
                  </w:r>
                </w:p>
              </w:tc>
              <w:tc>
                <w:tcPr>
                  <w:tcW w:w="3061" w:type="dxa"/>
                  <w:vAlign w:val="center"/>
                </w:tcPr>
                <w:p w14:paraId="6772EAD3" w14:textId="77B1179C" w:rsidR="00C34383" w:rsidRPr="00592243" w:rsidRDefault="00C34383" w:rsidP="00C34383">
                  <w:pPr>
                    <w:spacing w:before="120" w:after="120"/>
                    <w:rPr>
                      <w:rFonts w:cs="Arial"/>
                      <w:sz w:val="16"/>
                      <w:szCs w:val="16"/>
                    </w:rPr>
                  </w:pPr>
                </w:p>
              </w:tc>
            </w:tr>
            <w:tr w:rsidR="00C34383" w:rsidRPr="00592243" w14:paraId="0243CBB5" w14:textId="77777777" w:rsidTr="008B6884">
              <w:tc>
                <w:tcPr>
                  <w:tcW w:w="2438" w:type="dxa"/>
                  <w:vAlign w:val="center"/>
                </w:tcPr>
                <w:p w14:paraId="3CF2E457" w14:textId="77777777" w:rsidR="00C34383" w:rsidRPr="00592243" w:rsidRDefault="00C34383" w:rsidP="00C34383">
                  <w:pPr>
                    <w:spacing w:before="120" w:after="120"/>
                    <w:rPr>
                      <w:rFonts w:cs="Arial"/>
                      <w:sz w:val="16"/>
                      <w:szCs w:val="16"/>
                    </w:rPr>
                  </w:pPr>
                  <w:r w:rsidRPr="00592243">
                    <w:rPr>
                      <w:rFonts w:cs="Arial"/>
                      <w:sz w:val="16"/>
                      <w:szCs w:val="16"/>
                    </w:rPr>
                    <w:t>Anteil von Kapitalanlagen in Unternehmen, die mehr als 5% mit der Förderung thermischer Kohle erwirtschaften</w:t>
                  </w:r>
                </w:p>
              </w:tc>
              <w:tc>
                <w:tcPr>
                  <w:tcW w:w="1276" w:type="dxa"/>
                  <w:vAlign w:val="center"/>
                </w:tcPr>
                <w:p w14:paraId="4D2EA3D0" w14:textId="2F1FD5CA" w:rsidR="00C34383" w:rsidRPr="00592243" w:rsidRDefault="0077156C" w:rsidP="00C34383">
                  <w:pPr>
                    <w:spacing w:before="120" w:after="120"/>
                    <w:jc w:val="center"/>
                    <w:rPr>
                      <w:rFonts w:cs="Arial"/>
                      <w:sz w:val="16"/>
                      <w:szCs w:val="16"/>
                    </w:rPr>
                  </w:pPr>
                  <w:r w:rsidRPr="00592243">
                    <w:rPr>
                      <w:rFonts w:cs="Arial"/>
                      <w:bCs/>
                      <w:sz w:val="16"/>
                      <w:szCs w:val="16"/>
                    </w:rPr>
                    <w:t>0</w:t>
                  </w:r>
                  <w:r>
                    <w:rPr>
                      <w:rFonts w:cs="Arial"/>
                      <w:bCs/>
                      <w:sz w:val="16"/>
                      <w:szCs w:val="16"/>
                    </w:rPr>
                    <w:t>,00</w:t>
                  </w:r>
                  <w:r w:rsidRPr="00592243">
                    <w:rPr>
                      <w:rFonts w:cs="Arial"/>
                      <w:bCs/>
                      <w:sz w:val="16"/>
                      <w:szCs w:val="16"/>
                    </w:rPr>
                    <w:t>%</w:t>
                  </w:r>
                </w:p>
              </w:tc>
              <w:tc>
                <w:tcPr>
                  <w:tcW w:w="1276" w:type="dxa"/>
                  <w:vAlign w:val="center"/>
                </w:tcPr>
                <w:p w14:paraId="114F43F9" w14:textId="465F324A" w:rsidR="00C34383" w:rsidRPr="00592243" w:rsidRDefault="00C34383" w:rsidP="00C34383">
                  <w:pPr>
                    <w:spacing w:before="120" w:after="120"/>
                    <w:jc w:val="center"/>
                    <w:rPr>
                      <w:rFonts w:cs="Arial"/>
                      <w:bCs/>
                      <w:sz w:val="16"/>
                      <w:szCs w:val="16"/>
                    </w:rPr>
                  </w:pPr>
                  <w:r w:rsidRPr="00592243">
                    <w:rPr>
                      <w:rFonts w:cs="Arial"/>
                      <w:bCs/>
                      <w:sz w:val="16"/>
                      <w:szCs w:val="16"/>
                    </w:rPr>
                    <w:t>0</w:t>
                  </w:r>
                  <w:r w:rsidR="00D765C6">
                    <w:rPr>
                      <w:rFonts w:cs="Arial"/>
                      <w:bCs/>
                      <w:sz w:val="16"/>
                      <w:szCs w:val="16"/>
                    </w:rPr>
                    <w:t>,00</w:t>
                  </w:r>
                  <w:r w:rsidRPr="00592243">
                    <w:rPr>
                      <w:rFonts w:cs="Arial"/>
                      <w:bCs/>
                      <w:sz w:val="16"/>
                      <w:szCs w:val="16"/>
                    </w:rPr>
                    <w:t>%</w:t>
                  </w:r>
                </w:p>
              </w:tc>
              <w:tc>
                <w:tcPr>
                  <w:tcW w:w="3061" w:type="dxa"/>
                  <w:vAlign w:val="center"/>
                </w:tcPr>
                <w:p w14:paraId="28EF6008" w14:textId="5FE3BC9F" w:rsidR="00C34383" w:rsidRPr="00592243" w:rsidRDefault="00C34383" w:rsidP="00C34383">
                  <w:pPr>
                    <w:spacing w:before="120" w:after="120"/>
                    <w:rPr>
                      <w:rFonts w:cs="Arial"/>
                      <w:sz w:val="16"/>
                      <w:szCs w:val="16"/>
                    </w:rPr>
                  </w:pPr>
                </w:p>
              </w:tc>
            </w:tr>
            <w:tr w:rsidR="00C34383" w:rsidRPr="00592243" w14:paraId="357A8A6A" w14:textId="77777777" w:rsidTr="008B6884">
              <w:tc>
                <w:tcPr>
                  <w:tcW w:w="2438" w:type="dxa"/>
                  <w:vAlign w:val="center"/>
                </w:tcPr>
                <w:p w14:paraId="7DEA8616" w14:textId="77777777" w:rsidR="00C34383" w:rsidRPr="00592243" w:rsidRDefault="00C34383" w:rsidP="00C34383">
                  <w:pPr>
                    <w:spacing w:before="120" w:after="120"/>
                    <w:rPr>
                      <w:rFonts w:cs="Arial"/>
                      <w:sz w:val="16"/>
                      <w:szCs w:val="16"/>
                    </w:rPr>
                  </w:pPr>
                  <w:r w:rsidRPr="00592243">
                    <w:rPr>
                      <w:rFonts w:cs="Arial"/>
                      <w:sz w:val="16"/>
                      <w:szCs w:val="16"/>
                    </w:rPr>
                    <w:t>Anteil von Kapitalanlagen in Unternehmen, die mehr als 25% mit der Verstromung von Kohle erwirtschaften</w:t>
                  </w:r>
                </w:p>
              </w:tc>
              <w:tc>
                <w:tcPr>
                  <w:tcW w:w="1276" w:type="dxa"/>
                  <w:vAlign w:val="center"/>
                </w:tcPr>
                <w:p w14:paraId="2927080F" w14:textId="73597A00" w:rsidR="00C34383" w:rsidRPr="00592243" w:rsidRDefault="0077156C" w:rsidP="00C34383">
                  <w:pPr>
                    <w:spacing w:before="120" w:after="120"/>
                    <w:jc w:val="center"/>
                    <w:rPr>
                      <w:rFonts w:cs="Arial"/>
                      <w:sz w:val="16"/>
                      <w:szCs w:val="16"/>
                    </w:rPr>
                  </w:pPr>
                  <w:r w:rsidRPr="00592243">
                    <w:rPr>
                      <w:rFonts w:cs="Arial"/>
                      <w:bCs/>
                      <w:sz w:val="16"/>
                      <w:szCs w:val="16"/>
                    </w:rPr>
                    <w:t>0</w:t>
                  </w:r>
                  <w:r>
                    <w:rPr>
                      <w:rFonts w:cs="Arial"/>
                      <w:bCs/>
                      <w:sz w:val="16"/>
                      <w:szCs w:val="16"/>
                    </w:rPr>
                    <w:t>,00</w:t>
                  </w:r>
                  <w:r w:rsidRPr="00592243">
                    <w:rPr>
                      <w:rFonts w:cs="Arial"/>
                      <w:bCs/>
                      <w:sz w:val="16"/>
                      <w:szCs w:val="16"/>
                    </w:rPr>
                    <w:t>%</w:t>
                  </w:r>
                </w:p>
              </w:tc>
              <w:tc>
                <w:tcPr>
                  <w:tcW w:w="1276" w:type="dxa"/>
                  <w:vAlign w:val="center"/>
                </w:tcPr>
                <w:p w14:paraId="596D00FD" w14:textId="24F69D5F" w:rsidR="00C34383" w:rsidRPr="00592243" w:rsidRDefault="00C34383" w:rsidP="00C34383">
                  <w:pPr>
                    <w:spacing w:before="120" w:after="120"/>
                    <w:jc w:val="center"/>
                    <w:rPr>
                      <w:rFonts w:cs="Arial"/>
                      <w:bCs/>
                      <w:sz w:val="16"/>
                      <w:szCs w:val="16"/>
                    </w:rPr>
                  </w:pPr>
                  <w:r w:rsidRPr="00592243">
                    <w:rPr>
                      <w:rFonts w:cs="Arial"/>
                      <w:bCs/>
                      <w:sz w:val="16"/>
                      <w:szCs w:val="16"/>
                    </w:rPr>
                    <w:t>0</w:t>
                  </w:r>
                  <w:r w:rsidR="00D765C6">
                    <w:rPr>
                      <w:rFonts w:cs="Arial"/>
                      <w:bCs/>
                      <w:sz w:val="16"/>
                      <w:szCs w:val="16"/>
                    </w:rPr>
                    <w:t>,01</w:t>
                  </w:r>
                  <w:r w:rsidRPr="00592243">
                    <w:rPr>
                      <w:rFonts w:cs="Arial"/>
                      <w:bCs/>
                      <w:sz w:val="16"/>
                      <w:szCs w:val="16"/>
                    </w:rPr>
                    <w:t>%</w:t>
                  </w:r>
                </w:p>
              </w:tc>
              <w:tc>
                <w:tcPr>
                  <w:tcW w:w="3061" w:type="dxa"/>
                  <w:vAlign w:val="center"/>
                </w:tcPr>
                <w:p w14:paraId="45CBC612" w14:textId="77777777" w:rsidR="00C34383" w:rsidRPr="00592243" w:rsidRDefault="00C34383" w:rsidP="00C34383">
                  <w:pPr>
                    <w:spacing w:before="120" w:after="120"/>
                    <w:rPr>
                      <w:rFonts w:cs="Arial"/>
                      <w:sz w:val="16"/>
                      <w:szCs w:val="16"/>
                    </w:rPr>
                  </w:pPr>
                  <w:r w:rsidRPr="00592243">
                    <w:rPr>
                      <w:rFonts w:cs="Arial"/>
                      <w:sz w:val="16"/>
                      <w:szCs w:val="16"/>
                    </w:rPr>
                    <w:t>Der Ausschluss wird derzeit nur bei gezielten Investitionen sichergestellt. Bei Anlagen über nichtindividualisierte Ziel- oder passive Indexfonds, ist es möglich, dass indirekt in entsprechende Unternehmen investiert wird.</w:t>
                  </w:r>
                </w:p>
              </w:tc>
            </w:tr>
            <w:tr w:rsidR="00C34383" w:rsidRPr="00592243" w14:paraId="26086AC9" w14:textId="77777777" w:rsidTr="008B6884">
              <w:tc>
                <w:tcPr>
                  <w:tcW w:w="2438" w:type="dxa"/>
                  <w:vAlign w:val="center"/>
                </w:tcPr>
                <w:p w14:paraId="391CD13C" w14:textId="77777777" w:rsidR="00C34383" w:rsidRPr="00592243" w:rsidRDefault="00C34383" w:rsidP="00C34383">
                  <w:pPr>
                    <w:spacing w:before="120" w:after="120"/>
                    <w:rPr>
                      <w:rFonts w:cs="Arial"/>
                      <w:sz w:val="16"/>
                      <w:szCs w:val="16"/>
                    </w:rPr>
                  </w:pPr>
                  <w:r w:rsidRPr="00592243">
                    <w:rPr>
                      <w:rFonts w:cs="Arial"/>
                      <w:sz w:val="16"/>
                      <w:szCs w:val="16"/>
                    </w:rPr>
                    <w:t>Anteil von Kapitalanlagen in Unternehmen, die Tabakprodukte herstellen</w:t>
                  </w:r>
                </w:p>
              </w:tc>
              <w:tc>
                <w:tcPr>
                  <w:tcW w:w="1276" w:type="dxa"/>
                  <w:vAlign w:val="center"/>
                </w:tcPr>
                <w:p w14:paraId="2193C4A3" w14:textId="4AAA471D" w:rsidR="00C34383" w:rsidRPr="00592243" w:rsidRDefault="0077156C" w:rsidP="00C34383">
                  <w:pPr>
                    <w:spacing w:before="120" w:after="120"/>
                    <w:jc w:val="center"/>
                    <w:rPr>
                      <w:rFonts w:cs="Arial"/>
                      <w:sz w:val="16"/>
                      <w:szCs w:val="16"/>
                    </w:rPr>
                  </w:pPr>
                  <w:r w:rsidRPr="00592243">
                    <w:rPr>
                      <w:rFonts w:cs="Arial"/>
                      <w:bCs/>
                      <w:sz w:val="16"/>
                      <w:szCs w:val="16"/>
                    </w:rPr>
                    <w:t>0</w:t>
                  </w:r>
                  <w:r>
                    <w:rPr>
                      <w:rFonts w:cs="Arial"/>
                      <w:bCs/>
                      <w:sz w:val="16"/>
                      <w:szCs w:val="16"/>
                    </w:rPr>
                    <w:t>,00</w:t>
                  </w:r>
                  <w:r w:rsidRPr="00592243">
                    <w:rPr>
                      <w:rFonts w:cs="Arial"/>
                      <w:bCs/>
                      <w:sz w:val="16"/>
                      <w:szCs w:val="16"/>
                    </w:rPr>
                    <w:t>%</w:t>
                  </w:r>
                </w:p>
              </w:tc>
              <w:tc>
                <w:tcPr>
                  <w:tcW w:w="1276" w:type="dxa"/>
                  <w:vAlign w:val="center"/>
                </w:tcPr>
                <w:p w14:paraId="3CEB72E3" w14:textId="77777777" w:rsidR="00C34383" w:rsidRPr="00592243" w:rsidRDefault="00C34383" w:rsidP="00C34383">
                  <w:pPr>
                    <w:spacing w:before="120" w:after="120"/>
                    <w:jc w:val="center"/>
                    <w:rPr>
                      <w:rFonts w:cs="Arial"/>
                      <w:bCs/>
                      <w:sz w:val="16"/>
                      <w:szCs w:val="16"/>
                    </w:rPr>
                  </w:pPr>
                  <w:r>
                    <w:rPr>
                      <w:rFonts w:cs="Arial"/>
                      <w:bCs/>
                      <w:sz w:val="16"/>
                      <w:szCs w:val="16"/>
                    </w:rPr>
                    <w:t>n/a</w:t>
                  </w:r>
                </w:p>
              </w:tc>
              <w:tc>
                <w:tcPr>
                  <w:tcW w:w="3061" w:type="dxa"/>
                  <w:vMerge w:val="restart"/>
                  <w:vAlign w:val="center"/>
                </w:tcPr>
                <w:p w14:paraId="2FA347DB" w14:textId="77777777" w:rsidR="00C34383" w:rsidRPr="00592243" w:rsidRDefault="00C34383" w:rsidP="00C34383">
                  <w:pPr>
                    <w:spacing w:before="120" w:after="120"/>
                    <w:rPr>
                      <w:rFonts w:cs="Arial"/>
                      <w:sz w:val="16"/>
                      <w:szCs w:val="16"/>
                    </w:rPr>
                  </w:pPr>
                  <w:r w:rsidRPr="00592243">
                    <w:rPr>
                      <w:rFonts w:cs="Arial"/>
                      <w:sz w:val="16"/>
                      <w:szCs w:val="16"/>
                    </w:rPr>
                    <w:t>Die Berücksichtigung von sozialen und/</w:t>
                  </w:r>
                  <w:r>
                    <w:rPr>
                      <w:rFonts w:cs="Arial"/>
                      <w:sz w:val="16"/>
                      <w:szCs w:val="16"/>
                    </w:rPr>
                    <w:br/>
                  </w:r>
                  <w:r w:rsidRPr="00592243">
                    <w:rPr>
                      <w:rFonts w:cs="Arial"/>
                      <w:sz w:val="16"/>
                      <w:szCs w:val="16"/>
                    </w:rPr>
                    <w:t>oder ökologischen Nachhaltigkeits</w:t>
                  </w:r>
                  <w:r>
                    <w:rPr>
                      <w:rFonts w:cs="Arial"/>
                      <w:sz w:val="16"/>
                      <w:szCs w:val="16"/>
                    </w:rPr>
                    <w:t>-</w:t>
                  </w:r>
                  <w:r w:rsidRPr="00592243">
                    <w:rPr>
                      <w:rFonts w:cs="Arial"/>
                      <w:sz w:val="16"/>
                      <w:szCs w:val="16"/>
                    </w:rPr>
                    <w:t xml:space="preserve">merkmalen wurde im Berichtsjahr durch die Weiterentwicklung der Nachhaltigkeitsstrategie in der Kapitalanlage vorangetrieben. So wurde der Mindeststandard des Konzerns zum 01.05.23 um weitere Kriterien erweitert. Ein Vergleich zu den Vorjahren ist für diese neuen Merkmale nicht möglich und wird für den nächsten Berichtszeitraum angestrebt. </w:t>
                  </w:r>
                </w:p>
              </w:tc>
            </w:tr>
            <w:tr w:rsidR="00C34383" w:rsidRPr="00592243" w14:paraId="538E0270" w14:textId="77777777" w:rsidTr="008B6884">
              <w:tc>
                <w:tcPr>
                  <w:tcW w:w="2438" w:type="dxa"/>
                  <w:vAlign w:val="center"/>
                </w:tcPr>
                <w:p w14:paraId="2BF56CC6" w14:textId="77777777" w:rsidR="00C34383" w:rsidRPr="00592243" w:rsidRDefault="00C34383" w:rsidP="00C34383">
                  <w:pPr>
                    <w:spacing w:before="120" w:after="120"/>
                    <w:rPr>
                      <w:rFonts w:cs="Arial"/>
                      <w:sz w:val="16"/>
                      <w:szCs w:val="16"/>
                    </w:rPr>
                  </w:pPr>
                  <w:r w:rsidRPr="00592243">
                    <w:rPr>
                      <w:rFonts w:cs="Arial"/>
                      <w:sz w:val="16"/>
                      <w:szCs w:val="16"/>
                    </w:rPr>
                    <w:t xml:space="preserve">Anteil von Kapitalanlagen in Staaten, </w:t>
                  </w:r>
                  <w:r w:rsidRPr="00592243">
                    <w:rPr>
                      <w:rFonts w:ascii="ArialMT" w:hAnsi="ArialMT" w:cs="ArialMT"/>
                      <w:sz w:val="16"/>
                      <w:szCs w:val="16"/>
                    </w:rPr>
                    <w:t>die als „not free“ nach dem Freedom House Index eingestuft sind</w:t>
                  </w:r>
                </w:p>
              </w:tc>
              <w:tc>
                <w:tcPr>
                  <w:tcW w:w="1276" w:type="dxa"/>
                  <w:vAlign w:val="center"/>
                </w:tcPr>
                <w:p w14:paraId="015AB3E9" w14:textId="0176F9C8" w:rsidR="00C34383" w:rsidRPr="00592243" w:rsidRDefault="0077156C" w:rsidP="00C34383">
                  <w:pPr>
                    <w:spacing w:before="120" w:after="120"/>
                    <w:jc w:val="center"/>
                    <w:rPr>
                      <w:rFonts w:cs="Arial"/>
                      <w:sz w:val="16"/>
                      <w:szCs w:val="16"/>
                    </w:rPr>
                  </w:pPr>
                  <w:r w:rsidRPr="00592243">
                    <w:rPr>
                      <w:rFonts w:cs="Arial"/>
                      <w:bCs/>
                      <w:sz w:val="16"/>
                      <w:szCs w:val="16"/>
                    </w:rPr>
                    <w:t>0</w:t>
                  </w:r>
                  <w:r>
                    <w:rPr>
                      <w:rFonts w:cs="Arial"/>
                      <w:bCs/>
                      <w:sz w:val="16"/>
                      <w:szCs w:val="16"/>
                    </w:rPr>
                    <w:t>,00</w:t>
                  </w:r>
                  <w:r w:rsidRPr="00592243">
                    <w:rPr>
                      <w:rFonts w:cs="Arial"/>
                      <w:bCs/>
                      <w:sz w:val="16"/>
                      <w:szCs w:val="16"/>
                    </w:rPr>
                    <w:t>%</w:t>
                  </w:r>
                </w:p>
              </w:tc>
              <w:tc>
                <w:tcPr>
                  <w:tcW w:w="1276" w:type="dxa"/>
                  <w:vAlign w:val="center"/>
                </w:tcPr>
                <w:p w14:paraId="0FB4AC2B" w14:textId="77777777" w:rsidR="00C34383" w:rsidRPr="00592243" w:rsidRDefault="00C34383" w:rsidP="00C34383">
                  <w:pPr>
                    <w:spacing w:before="120" w:after="120"/>
                    <w:jc w:val="center"/>
                    <w:rPr>
                      <w:rFonts w:cs="Arial"/>
                      <w:bCs/>
                      <w:sz w:val="16"/>
                      <w:szCs w:val="16"/>
                    </w:rPr>
                  </w:pPr>
                  <w:r>
                    <w:rPr>
                      <w:rFonts w:cs="Arial"/>
                      <w:bCs/>
                      <w:sz w:val="16"/>
                      <w:szCs w:val="16"/>
                    </w:rPr>
                    <w:t>n/a</w:t>
                  </w:r>
                </w:p>
              </w:tc>
              <w:tc>
                <w:tcPr>
                  <w:tcW w:w="3061" w:type="dxa"/>
                  <w:vMerge/>
                  <w:vAlign w:val="center"/>
                </w:tcPr>
                <w:p w14:paraId="213D9BC8" w14:textId="77777777" w:rsidR="00C34383" w:rsidRPr="00592243" w:rsidRDefault="00C34383" w:rsidP="00C34383">
                  <w:pPr>
                    <w:spacing w:before="120" w:after="120"/>
                    <w:rPr>
                      <w:rFonts w:cs="Arial"/>
                      <w:sz w:val="16"/>
                      <w:szCs w:val="16"/>
                    </w:rPr>
                  </w:pPr>
                </w:p>
              </w:tc>
            </w:tr>
            <w:tr w:rsidR="00C34383" w:rsidRPr="00592243" w14:paraId="20A2BEC3" w14:textId="77777777" w:rsidTr="008B6884">
              <w:tc>
                <w:tcPr>
                  <w:tcW w:w="2438" w:type="dxa"/>
                  <w:vAlign w:val="center"/>
                </w:tcPr>
                <w:p w14:paraId="0A005C6B" w14:textId="77777777" w:rsidR="00C34383" w:rsidRPr="00592243" w:rsidRDefault="00C34383" w:rsidP="00C34383">
                  <w:pPr>
                    <w:spacing w:before="120" w:after="120"/>
                    <w:rPr>
                      <w:rFonts w:cs="Arial"/>
                      <w:sz w:val="16"/>
                      <w:szCs w:val="16"/>
                    </w:rPr>
                  </w:pPr>
                  <w:r w:rsidRPr="00AB1601">
                    <w:rPr>
                      <w:rFonts w:cs="Arial"/>
                      <w:sz w:val="16"/>
                      <w:szCs w:val="16"/>
                    </w:rPr>
                    <w:t>Anteil in von Investitionen, die der Definition einer nachhaltigen Investition gem. Art. 2(17) der Offenlegungs</w:t>
                  </w:r>
                  <w:r>
                    <w:rPr>
                      <w:rFonts w:cs="Arial"/>
                      <w:sz w:val="16"/>
                      <w:szCs w:val="16"/>
                    </w:rPr>
                    <w:t>-</w:t>
                  </w:r>
                  <w:r w:rsidRPr="00AB1601">
                    <w:rPr>
                      <w:rFonts w:cs="Arial"/>
                      <w:sz w:val="16"/>
                      <w:szCs w:val="16"/>
                    </w:rPr>
                    <w:t>verordnung (EU) 2019/2088 entsprechen, im Verhältnis zum Wert aller Vermögens</w:t>
                  </w:r>
                  <w:r>
                    <w:rPr>
                      <w:rFonts w:cs="Arial"/>
                      <w:sz w:val="16"/>
                      <w:szCs w:val="16"/>
                    </w:rPr>
                    <w:t>-</w:t>
                  </w:r>
                  <w:r w:rsidRPr="00AB1601">
                    <w:rPr>
                      <w:rFonts w:cs="Arial"/>
                      <w:sz w:val="16"/>
                      <w:szCs w:val="16"/>
                    </w:rPr>
                    <w:t>gegenstände der Anlageoption</w:t>
                  </w:r>
                </w:p>
              </w:tc>
              <w:tc>
                <w:tcPr>
                  <w:tcW w:w="1276" w:type="dxa"/>
                  <w:vAlign w:val="center"/>
                </w:tcPr>
                <w:p w14:paraId="4AE628DF" w14:textId="78E340DB" w:rsidR="00C34383" w:rsidRPr="00592243" w:rsidRDefault="0077156C" w:rsidP="00C34383">
                  <w:pPr>
                    <w:spacing w:before="120" w:after="120"/>
                    <w:jc w:val="center"/>
                    <w:rPr>
                      <w:rFonts w:cs="Arial"/>
                      <w:sz w:val="16"/>
                      <w:szCs w:val="16"/>
                    </w:rPr>
                  </w:pPr>
                  <w:r>
                    <w:rPr>
                      <w:rFonts w:cs="Arial"/>
                      <w:sz w:val="16"/>
                      <w:szCs w:val="16"/>
                    </w:rPr>
                    <w:t>45,53%</w:t>
                  </w:r>
                </w:p>
              </w:tc>
              <w:tc>
                <w:tcPr>
                  <w:tcW w:w="1276" w:type="dxa"/>
                  <w:vAlign w:val="center"/>
                </w:tcPr>
                <w:p w14:paraId="7ABACF18" w14:textId="0EF833D3" w:rsidR="00C34383" w:rsidRDefault="00D765C6" w:rsidP="00C34383">
                  <w:pPr>
                    <w:spacing w:before="120" w:after="120"/>
                    <w:jc w:val="center"/>
                    <w:rPr>
                      <w:rFonts w:cs="Arial"/>
                      <w:bCs/>
                      <w:sz w:val="16"/>
                      <w:szCs w:val="16"/>
                    </w:rPr>
                  </w:pPr>
                  <w:r>
                    <w:rPr>
                      <w:rFonts w:cs="Arial"/>
                      <w:bCs/>
                      <w:sz w:val="16"/>
                      <w:szCs w:val="16"/>
                    </w:rPr>
                    <w:t>15,51</w:t>
                  </w:r>
                  <w:r w:rsidR="00C34383">
                    <w:rPr>
                      <w:rFonts w:cs="Arial"/>
                      <w:bCs/>
                      <w:sz w:val="16"/>
                      <w:szCs w:val="16"/>
                    </w:rPr>
                    <w:t>%</w:t>
                  </w:r>
                </w:p>
              </w:tc>
              <w:tc>
                <w:tcPr>
                  <w:tcW w:w="3061" w:type="dxa"/>
                  <w:vAlign w:val="center"/>
                </w:tcPr>
                <w:p w14:paraId="6BA7D4FC" w14:textId="77777777" w:rsidR="00C34383" w:rsidRPr="00592243" w:rsidRDefault="00C34383" w:rsidP="00C34383">
                  <w:pPr>
                    <w:spacing w:before="120" w:after="120"/>
                    <w:rPr>
                      <w:rFonts w:cs="Arial"/>
                      <w:sz w:val="16"/>
                      <w:szCs w:val="16"/>
                    </w:rPr>
                  </w:pPr>
                </w:p>
              </w:tc>
            </w:tr>
            <w:tr w:rsidR="00C34383" w:rsidRPr="00592243" w14:paraId="39F15C5A" w14:textId="77777777" w:rsidTr="008B6884">
              <w:tc>
                <w:tcPr>
                  <w:tcW w:w="2438" w:type="dxa"/>
                  <w:vAlign w:val="center"/>
                </w:tcPr>
                <w:p w14:paraId="1E7CF205" w14:textId="77777777" w:rsidR="00C34383" w:rsidRPr="00AB1601" w:rsidRDefault="00C34383" w:rsidP="00C34383">
                  <w:pPr>
                    <w:spacing w:before="120" w:after="120"/>
                    <w:rPr>
                      <w:rFonts w:cs="Arial"/>
                      <w:sz w:val="16"/>
                      <w:szCs w:val="16"/>
                    </w:rPr>
                  </w:pPr>
                  <w:r w:rsidRPr="00AB1601">
                    <w:rPr>
                      <w:rFonts w:cs="Arial"/>
                      <w:sz w:val="16"/>
                      <w:szCs w:val="16"/>
                    </w:rPr>
                    <w:t>Anteil von Investitionen in Unternehmen, die schwerwiegende Verstöße in den Bereichen Biodiversität &amp; Landnutzung, Wasserstress oder giftige Emissionen und Abfall aufweisen</w:t>
                  </w:r>
                </w:p>
              </w:tc>
              <w:tc>
                <w:tcPr>
                  <w:tcW w:w="1276" w:type="dxa"/>
                  <w:vAlign w:val="center"/>
                </w:tcPr>
                <w:p w14:paraId="3A5D5F9E" w14:textId="413C1702" w:rsidR="00C34383" w:rsidRPr="00592243" w:rsidRDefault="0077156C" w:rsidP="00C34383">
                  <w:pPr>
                    <w:spacing w:before="120" w:after="120"/>
                    <w:jc w:val="center"/>
                    <w:rPr>
                      <w:rFonts w:cs="Arial"/>
                      <w:sz w:val="16"/>
                      <w:szCs w:val="16"/>
                    </w:rPr>
                  </w:pPr>
                  <w:r w:rsidRPr="00592243">
                    <w:rPr>
                      <w:rFonts w:cs="Arial"/>
                      <w:bCs/>
                      <w:sz w:val="16"/>
                      <w:szCs w:val="16"/>
                    </w:rPr>
                    <w:t>0</w:t>
                  </w:r>
                  <w:r>
                    <w:rPr>
                      <w:rFonts w:cs="Arial"/>
                      <w:bCs/>
                      <w:sz w:val="16"/>
                      <w:szCs w:val="16"/>
                    </w:rPr>
                    <w:t>,00</w:t>
                  </w:r>
                  <w:r w:rsidRPr="00592243">
                    <w:rPr>
                      <w:rFonts w:cs="Arial"/>
                      <w:bCs/>
                      <w:sz w:val="16"/>
                      <w:szCs w:val="16"/>
                    </w:rPr>
                    <w:t>%</w:t>
                  </w:r>
                </w:p>
              </w:tc>
              <w:tc>
                <w:tcPr>
                  <w:tcW w:w="1276" w:type="dxa"/>
                  <w:vAlign w:val="center"/>
                </w:tcPr>
                <w:p w14:paraId="2B29F3E9" w14:textId="099AB6B9" w:rsidR="00C34383" w:rsidRDefault="00C34383" w:rsidP="00C34383">
                  <w:pPr>
                    <w:spacing w:before="120" w:after="120"/>
                    <w:jc w:val="center"/>
                    <w:rPr>
                      <w:rFonts w:cs="Arial"/>
                      <w:bCs/>
                      <w:sz w:val="16"/>
                      <w:szCs w:val="16"/>
                    </w:rPr>
                  </w:pPr>
                  <w:r>
                    <w:rPr>
                      <w:rFonts w:cs="Arial"/>
                      <w:bCs/>
                      <w:sz w:val="16"/>
                      <w:szCs w:val="16"/>
                    </w:rPr>
                    <w:t>0,</w:t>
                  </w:r>
                  <w:r w:rsidR="00D765C6">
                    <w:rPr>
                      <w:rFonts w:cs="Arial"/>
                      <w:bCs/>
                      <w:sz w:val="16"/>
                      <w:szCs w:val="16"/>
                    </w:rPr>
                    <w:t>13</w:t>
                  </w:r>
                  <w:r>
                    <w:rPr>
                      <w:rFonts w:cs="Arial"/>
                      <w:bCs/>
                      <w:sz w:val="16"/>
                      <w:szCs w:val="16"/>
                    </w:rPr>
                    <w:t>%</w:t>
                  </w:r>
                </w:p>
              </w:tc>
              <w:tc>
                <w:tcPr>
                  <w:tcW w:w="3061" w:type="dxa"/>
                  <w:vAlign w:val="center"/>
                </w:tcPr>
                <w:p w14:paraId="037EFE60" w14:textId="26F466B9" w:rsidR="00C34383" w:rsidRPr="00592243" w:rsidRDefault="00C34383" w:rsidP="00C34383">
                  <w:pPr>
                    <w:spacing w:before="120" w:after="120"/>
                    <w:rPr>
                      <w:rFonts w:cs="Arial"/>
                      <w:sz w:val="16"/>
                      <w:szCs w:val="16"/>
                    </w:rPr>
                  </w:pPr>
                  <w:r w:rsidRPr="00AB1601">
                    <w:rPr>
                      <w:rFonts w:cs="Arial"/>
                      <w:sz w:val="16"/>
                      <w:szCs w:val="16"/>
                    </w:rPr>
                    <w:t>Das Kriterium wird derzeit nur bei gezielten Investitionen sichergestellt. Bei Anlagen über nichtindividualisierte Ziel- oder passive Indexfonds, ist es möglich</w:t>
                  </w:r>
                  <w:r w:rsidR="00D765C6">
                    <w:rPr>
                      <w:rFonts w:cs="Arial"/>
                      <w:sz w:val="16"/>
                      <w:szCs w:val="16"/>
                    </w:rPr>
                    <w:t>,</w:t>
                  </w:r>
                  <w:r w:rsidRPr="00AB1601">
                    <w:rPr>
                      <w:rFonts w:cs="Arial"/>
                      <w:sz w:val="16"/>
                      <w:szCs w:val="16"/>
                    </w:rPr>
                    <w:t xml:space="preserve"> dass indirekt in entsprechende Unternehmen investiert wird.</w:t>
                  </w:r>
                </w:p>
              </w:tc>
            </w:tr>
            <w:tr w:rsidR="00C34383" w:rsidRPr="006106FE" w14:paraId="4F12F637" w14:textId="77777777" w:rsidTr="008B6884">
              <w:tc>
                <w:tcPr>
                  <w:tcW w:w="2438" w:type="dxa"/>
                  <w:vAlign w:val="center"/>
                </w:tcPr>
                <w:p w14:paraId="7B70BA5D" w14:textId="70CA7E6F" w:rsidR="00C34383" w:rsidRPr="006106FE" w:rsidRDefault="00C34383" w:rsidP="00C34383">
                  <w:pPr>
                    <w:spacing w:before="120" w:after="120"/>
                    <w:rPr>
                      <w:rFonts w:cs="Arial"/>
                      <w:sz w:val="16"/>
                      <w:szCs w:val="16"/>
                    </w:rPr>
                  </w:pPr>
                  <w:r w:rsidRPr="00AB1601">
                    <w:rPr>
                      <w:rFonts w:cs="Arial"/>
                      <w:sz w:val="16"/>
                      <w:szCs w:val="16"/>
                    </w:rPr>
                    <w:t xml:space="preserve">CO2-Fußabdruck im Vergleich (in %) zum Referenzwert </w:t>
                  </w:r>
                  <w:r w:rsidR="00FC602A">
                    <w:rPr>
                      <w:rFonts w:cs="Arial"/>
                      <w:sz w:val="16"/>
                      <w:szCs w:val="16"/>
                    </w:rPr>
                    <w:t>einer strategieähnlichen Benchmark</w:t>
                  </w:r>
                </w:p>
              </w:tc>
              <w:tc>
                <w:tcPr>
                  <w:tcW w:w="1276" w:type="dxa"/>
                  <w:vAlign w:val="center"/>
                </w:tcPr>
                <w:p w14:paraId="2EAA818A" w14:textId="203133DF" w:rsidR="00C34383" w:rsidRPr="006106FE" w:rsidRDefault="0077156C" w:rsidP="00C34383">
                  <w:pPr>
                    <w:spacing w:before="120" w:after="120"/>
                    <w:jc w:val="center"/>
                    <w:rPr>
                      <w:rFonts w:cs="Arial"/>
                      <w:sz w:val="16"/>
                      <w:szCs w:val="16"/>
                    </w:rPr>
                  </w:pPr>
                  <w:r>
                    <w:rPr>
                      <w:rFonts w:cs="Arial"/>
                      <w:sz w:val="16"/>
                      <w:szCs w:val="16"/>
                    </w:rPr>
                    <w:t>62%</w:t>
                  </w:r>
                </w:p>
              </w:tc>
              <w:tc>
                <w:tcPr>
                  <w:tcW w:w="1276" w:type="dxa"/>
                  <w:vAlign w:val="center"/>
                </w:tcPr>
                <w:p w14:paraId="5E38596E" w14:textId="1A5050A4" w:rsidR="00C34383" w:rsidRPr="006106FE" w:rsidRDefault="00D765C6" w:rsidP="00C34383">
                  <w:pPr>
                    <w:spacing w:before="120" w:after="120"/>
                    <w:jc w:val="center"/>
                    <w:rPr>
                      <w:rFonts w:cs="Arial"/>
                      <w:bCs/>
                      <w:sz w:val="16"/>
                      <w:szCs w:val="16"/>
                    </w:rPr>
                  </w:pPr>
                  <w:r>
                    <w:rPr>
                      <w:rFonts w:cs="Arial"/>
                      <w:bCs/>
                      <w:sz w:val="16"/>
                      <w:szCs w:val="16"/>
                    </w:rPr>
                    <w:t>89</w:t>
                  </w:r>
                  <w:r w:rsidR="00C34383">
                    <w:rPr>
                      <w:rFonts w:cs="Arial"/>
                      <w:bCs/>
                      <w:sz w:val="16"/>
                      <w:szCs w:val="16"/>
                    </w:rPr>
                    <w:t>%</w:t>
                  </w:r>
                </w:p>
              </w:tc>
              <w:tc>
                <w:tcPr>
                  <w:tcW w:w="3061" w:type="dxa"/>
                  <w:vAlign w:val="center"/>
                </w:tcPr>
                <w:p w14:paraId="32CBCA0C" w14:textId="285CF80F" w:rsidR="00C34383" w:rsidRPr="006106FE" w:rsidRDefault="00FC602A" w:rsidP="00C34383">
                  <w:pPr>
                    <w:spacing w:before="120" w:after="120"/>
                    <w:rPr>
                      <w:rFonts w:cs="Arial"/>
                      <w:sz w:val="16"/>
                      <w:szCs w:val="16"/>
                    </w:rPr>
                  </w:pPr>
                  <w:r w:rsidRPr="009F3034">
                    <w:rPr>
                      <w:rFonts w:cs="Arial"/>
                      <w:sz w:val="16"/>
                      <w:szCs w:val="16"/>
                    </w:rPr>
                    <w:t>Als Referenzwert wurde eine strategieähnliche Benchmark verwendet</w:t>
                  </w:r>
                  <w:r w:rsidR="00B129DB">
                    <w:rPr>
                      <w:rFonts w:cs="Arial"/>
                      <w:sz w:val="16"/>
                      <w:szCs w:val="16"/>
                    </w:rPr>
                    <w:t xml:space="preserve"> (MSCI World)</w:t>
                  </w:r>
                  <w:r w:rsidRPr="009F3034">
                    <w:rPr>
                      <w:rFonts w:cs="Arial"/>
                      <w:sz w:val="16"/>
                      <w:szCs w:val="16"/>
                    </w:rPr>
                    <w:t>. Der Fußabdruck berechnet sich als Summe aus Scope 1 und Scope 2 Emissionen.</w:t>
                  </w:r>
                </w:p>
              </w:tc>
            </w:tr>
          </w:tbl>
          <w:p w14:paraId="233FE199" w14:textId="14879B11" w:rsidR="00FB4811" w:rsidRPr="00B31CBF" w:rsidRDefault="0077156C">
            <w:pPr>
              <w:spacing w:before="240"/>
              <w:rPr>
                <w:rFonts w:cs="Arial"/>
                <w:b/>
                <w:i/>
                <w:sz w:val="18"/>
                <w:szCs w:val="18"/>
                <w:highlight w:val="yellow"/>
              </w:rPr>
            </w:pPr>
            <w:r>
              <w:rPr>
                <w:rFonts w:cs="Arial"/>
                <w:bCs/>
                <w:sz w:val="18"/>
                <w:szCs w:val="18"/>
              </w:rPr>
              <w:t>Für die Berechnung wurde der Mittelwert der Bestände aus den letzten vier Quartalsstichtagen gebildet, ausgehend vom Berichtsstichtag.</w:t>
            </w:r>
          </w:p>
        </w:tc>
      </w:tr>
      <w:tr w:rsidR="00FB4811" w14:paraId="2D2ED81E" w14:textId="77777777" w:rsidTr="00EA5280">
        <w:tc>
          <w:tcPr>
            <w:tcW w:w="1702" w:type="dxa"/>
            <w:vMerge w:val="restart"/>
            <w:shd w:val="clear" w:color="auto" w:fill="auto"/>
          </w:tcPr>
          <w:p w14:paraId="76E60EB6" w14:textId="77777777" w:rsidR="00FB4811" w:rsidRDefault="00FB4811">
            <w:pPr>
              <w:rPr>
                <w:rFonts w:cs="Arial"/>
              </w:rPr>
            </w:pPr>
          </w:p>
        </w:tc>
        <w:tc>
          <w:tcPr>
            <w:tcW w:w="572" w:type="dxa"/>
          </w:tcPr>
          <w:p w14:paraId="72CF5C8B" w14:textId="77777777" w:rsidR="00FB4811" w:rsidRDefault="00B31CBF">
            <w:pPr>
              <w:spacing w:before="240"/>
              <w:rPr>
                <w:rFonts w:eastAsia="Calibri" w:cs="Arial"/>
                <w:b/>
                <w:i/>
                <w:color w:val="000000"/>
                <w:sz w:val="18"/>
                <w:szCs w:val="18"/>
              </w:rPr>
            </w:pPr>
            <w:r>
              <w:rPr>
                <w:rFonts w:cs="Arial"/>
                <w:noProof/>
                <w:sz w:val="18"/>
                <w:szCs w:val="18"/>
              </w:rPr>
              <w:drawing>
                <wp:anchor distT="0" distB="0" distL="114300" distR="114300" simplePos="0" relativeHeight="251714560" behindDoc="1" locked="0" layoutInCell="1" allowOverlap="1" wp14:anchorId="5BD80E0A" wp14:editId="54ED0EB5">
                  <wp:simplePos x="0" y="0"/>
                  <wp:positionH relativeFrom="column">
                    <wp:posOffset>74599</wp:posOffset>
                  </wp:positionH>
                  <wp:positionV relativeFrom="paragraph">
                    <wp:posOffset>139700</wp:posOffset>
                  </wp:positionV>
                  <wp:extent cx="245533" cy="203200"/>
                  <wp:effectExtent l="0" t="0" r="2540" b="635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181E273A" w14:textId="77777777" w:rsidR="00FB4811" w:rsidRDefault="00B31CBF">
            <w:pPr>
              <w:spacing w:before="240"/>
              <w:rPr>
                <w:rFonts w:eastAsia="Arial" w:cs="Arial"/>
                <w:i/>
                <w:color w:val="C00000"/>
                <w:sz w:val="18"/>
                <w:szCs w:val="18"/>
              </w:rPr>
            </w:pPr>
            <w:r>
              <w:rPr>
                <w:rFonts w:eastAsia="Calibri" w:cs="Arial"/>
                <w:b/>
                <w:i/>
                <w:color w:val="000000"/>
                <w:sz w:val="18"/>
                <w:szCs w:val="18"/>
              </w:rPr>
              <w:t>...</w:t>
            </w:r>
            <w:r>
              <w:rPr>
                <w:rFonts w:cs="Arial"/>
                <w:sz w:val="18"/>
                <w:szCs w:val="18"/>
              </w:rPr>
              <w:t xml:space="preserve"> </w:t>
            </w:r>
            <w:r>
              <w:rPr>
                <w:rFonts w:eastAsia="Calibri" w:cs="Arial"/>
                <w:b/>
                <w:i/>
                <w:color w:val="000000"/>
                <w:sz w:val="18"/>
                <w:szCs w:val="18"/>
              </w:rPr>
              <w:t xml:space="preserve">und im Vergleich zu vorangegangenen Zeiträumen? </w:t>
            </w:r>
          </w:p>
          <w:p w14:paraId="345B49E6" w14:textId="510177BA" w:rsidR="00FB4811" w:rsidRPr="00C34383" w:rsidRDefault="00C34383" w:rsidP="00C34383">
            <w:pPr>
              <w:spacing w:before="240"/>
              <w:rPr>
                <w:rFonts w:eastAsia="Calibri" w:cs="Arial"/>
                <w:bCs/>
                <w:iCs/>
                <w:color w:val="000000"/>
                <w:sz w:val="18"/>
                <w:szCs w:val="18"/>
              </w:rPr>
            </w:pPr>
            <w:r w:rsidRPr="00D61AD0">
              <w:rPr>
                <w:rFonts w:eastAsia="Calibri" w:cs="Arial"/>
                <w:bCs/>
                <w:iCs/>
                <w:color w:val="000000"/>
                <w:sz w:val="18"/>
                <w:szCs w:val="18"/>
              </w:rPr>
              <w:t xml:space="preserve">Siehe Tabelle zur vorherigen Frage </w:t>
            </w:r>
            <w:r>
              <w:rPr>
                <w:rFonts w:eastAsia="Calibri" w:cs="Arial"/>
                <w:bCs/>
                <w:iCs/>
                <w:color w:val="000000"/>
                <w:sz w:val="18"/>
                <w:szCs w:val="18"/>
              </w:rPr>
              <w:t>‚</w:t>
            </w:r>
            <w:r w:rsidRPr="00D61AD0">
              <w:rPr>
                <w:rFonts w:eastAsia="Calibri" w:cs="Arial"/>
                <w:bCs/>
                <w:iCs/>
                <w:color w:val="000000"/>
                <w:sz w:val="18"/>
                <w:szCs w:val="18"/>
              </w:rPr>
              <w:t>Wie haben die Nachhaltigkeitsindikatoren abgeschnitten?</w:t>
            </w:r>
            <w:r>
              <w:rPr>
                <w:rFonts w:eastAsia="Calibri" w:cs="Arial"/>
                <w:bCs/>
                <w:iCs/>
                <w:color w:val="000000"/>
                <w:sz w:val="18"/>
                <w:szCs w:val="18"/>
              </w:rPr>
              <w:t>‘</w:t>
            </w:r>
            <w:r>
              <w:rPr>
                <w:rFonts w:eastAsia="Calibri" w:cs="Arial"/>
                <w:bCs/>
                <w:iCs/>
                <w:color w:val="000000"/>
                <w:sz w:val="18"/>
                <w:szCs w:val="18"/>
              </w:rPr>
              <w:br/>
            </w:r>
          </w:p>
        </w:tc>
      </w:tr>
      <w:tr w:rsidR="00FB4811" w14:paraId="468BAA99" w14:textId="77777777" w:rsidTr="00EA5280">
        <w:tc>
          <w:tcPr>
            <w:tcW w:w="1702" w:type="dxa"/>
            <w:vMerge/>
            <w:shd w:val="clear" w:color="auto" w:fill="auto"/>
          </w:tcPr>
          <w:p w14:paraId="7925CF63" w14:textId="77777777" w:rsidR="00FB4811" w:rsidRDefault="00FB4811">
            <w:pPr>
              <w:jc w:val="both"/>
              <w:rPr>
                <w:rFonts w:cs="Arial"/>
                <w:sz w:val="18"/>
                <w:szCs w:val="18"/>
              </w:rPr>
            </w:pPr>
          </w:p>
        </w:tc>
        <w:tc>
          <w:tcPr>
            <w:tcW w:w="572" w:type="dxa"/>
          </w:tcPr>
          <w:p w14:paraId="3A91F6A9" w14:textId="77777777" w:rsidR="00FB4811" w:rsidRDefault="00B31CBF">
            <w:pPr>
              <w:spacing w:before="240"/>
              <w:rPr>
                <w:rFonts w:eastAsia="Calibri" w:cs="Arial"/>
                <w:b/>
                <w:i/>
                <w:color w:val="000000"/>
                <w:sz w:val="18"/>
                <w:szCs w:val="18"/>
              </w:rPr>
            </w:pPr>
            <w:r>
              <w:rPr>
                <w:rFonts w:cs="Arial"/>
                <w:noProof/>
                <w:sz w:val="18"/>
                <w:szCs w:val="18"/>
              </w:rPr>
              <w:drawing>
                <wp:anchor distT="0" distB="0" distL="114300" distR="114300" simplePos="0" relativeHeight="251713536" behindDoc="1" locked="0" layoutInCell="1" allowOverlap="1" wp14:anchorId="21EBC1FA" wp14:editId="6C7D4BF0">
                  <wp:simplePos x="0" y="0"/>
                  <wp:positionH relativeFrom="column">
                    <wp:posOffset>63047</wp:posOffset>
                  </wp:positionH>
                  <wp:positionV relativeFrom="paragraph">
                    <wp:posOffset>-18143</wp:posOffset>
                  </wp:positionV>
                  <wp:extent cx="245533" cy="203200"/>
                  <wp:effectExtent l="0" t="0" r="2540" b="635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0CB0883D" w14:textId="77777777" w:rsidR="00FB4811" w:rsidRDefault="00B31CBF">
            <w:pPr>
              <w:rPr>
                <w:rFonts w:eastAsia="Arial" w:cs="Arial"/>
                <w:i/>
                <w:color w:val="C00000"/>
                <w:sz w:val="18"/>
                <w:szCs w:val="18"/>
              </w:rPr>
            </w:pPr>
            <w:r>
              <w:rPr>
                <w:rFonts w:eastAsia="Calibri" w:cs="Arial"/>
                <w:b/>
                <w:i/>
                <w:color w:val="000000"/>
                <w:sz w:val="18"/>
                <w:szCs w:val="18"/>
              </w:rPr>
              <w:t xml:space="preserve">Welche Ziele verfolgten die nachhaltigen Investitionen, die mit dem Finanzprodukt teilweise getätigt wurden, und wie trägt die nachhaltige Investition zu diese, Zielen bei? </w:t>
            </w:r>
          </w:p>
          <w:p w14:paraId="6806AD6B" w14:textId="154D6B38" w:rsidR="00AD5681" w:rsidRPr="00114E1B" w:rsidRDefault="00AD5681" w:rsidP="00713633">
            <w:pPr>
              <w:spacing w:before="240"/>
              <w:jc w:val="both"/>
              <w:rPr>
                <w:rFonts w:cs="Arial"/>
                <w:noProof/>
                <w:sz w:val="18"/>
                <w:szCs w:val="18"/>
              </w:rPr>
            </w:pPr>
            <w:r w:rsidRPr="00114E1B">
              <w:rPr>
                <w:rFonts w:cs="Arial"/>
                <w:noProof/>
                <w:sz w:val="18"/>
                <w:szCs w:val="18"/>
              </w:rPr>
              <w:t xml:space="preserve">Zur Identifikation nachhaltiger Investitionen </w:t>
            </w:r>
            <w:r>
              <w:rPr>
                <w:rFonts w:cs="Arial"/>
                <w:noProof/>
                <w:sz w:val="18"/>
                <w:szCs w:val="18"/>
              </w:rPr>
              <w:t>verwendet</w:t>
            </w:r>
            <w:r w:rsidRPr="00114E1B">
              <w:rPr>
                <w:rFonts w:cs="Arial"/>
                <w:noProof/>
                <w:sz w:val="18"/>
                <w:szCs w:val="18"/>
              </w:rPr>
              <w:t xml:space="preserve"> der Konzern Versicherungskammer Informa</w:t>
            </w:r>
            <w:r w:rsidR="00713633">
              <w:rPr>
                <w:rFonts w:cs="Arial"/>
                <w:noProof/>
                <w:sz w:val="18"/>
                <w:szCs w:val="18"/>
              </w:rPr>
              <w:softHyphen/>
            </w:r>
            <w:r w:rsidRPr="00114E1B">
              <w:rPr>
                <w:rFonts w:cs="Arial"/>
                <w:noProof/>
                <w:sz w:val="18"/>
                <w:szCs w:val="18"/>
              </w:rPr>
              <w:t>tionen eines renommierten und auf ESG-Analysen und -Daten spezialisierten Datenanbieters. Dieser identifiziert in einem dreistufigen Verfahren diejenigen Unternehmen, welche die im Gesetzestext genannten Bedingungen für eine nachhaltige Investition erfüllen: Investitionen müssen einen positiven Beitrag zu einem Umwelt- und/oder Sozialziel leisten, vorausgesetzt, dass diese Investitionen keines dieser Ziele erheblich beeinträchtigen</w:t>
            </w:r>
            <w:r w:rsidRPr="00AA335F">
              <w:rPr>
                <w:rFonts w:cs="Arial"/>
                <w:noProof/>
                <w:sz w:val="18"/>
                <w:szCs w:val="18"/>
                <w:vertAlign w:val="superscript"/>
              </w:rPr>
              <w:t>1</w:t>
            </w:r>
            <w:r>
              <w:rPr>
                <w:rFonts w:cs="Arial"/>
                <w:noProof/>
                <w:sz w:val="18"/>
                <w:szCs w:val="18"/>
              </w:rPr>
              <w:t xml:space="preserve"> </w:t>
            </w:r>
            <w:r w:rsidRPr="00114E1B">
              <w:rPr>
                <w:rFonts w:cs="Arial"/>
                <w:noProof/>
                <w:sz w:val="18"/>
                <w:szCs w:val="18"/>
              </w:rPr>
              <w:t>und die Unternehmen, in die investiert wird, Verfahrensweisen einer guten Unternehmensführung anwenden</w:t>
            </w:r>
            <w:r w:rsidRPr="00AA335F">
              <w:rPr>
                <w:rFonts w:cs="Arial"/>
                <w:noProof/>
                <w:sz w:val="18"/>
                <w:szCs w:val="18"/>
                <w:vertAlign w:val="superscript"/>
              </w:rPr>
              <w:t>2</w:t>
            </w:r>
            <w:r>
              <w:rPr>
                <w:rFonts w:cs="Arial"/>
                <w:noProof/>
                <w:sz w:val="18"/>
                <w:szCs w:val="18"/>
              </w:rPr>
              <w:t>:</w:t>
            </w:r>
          </w:p>
          <w:p w14:paraId="6337BFCB" w14:textId="37A6EC5B" w:rsidR="00AD5681" w:rsidRDefault="00AD5681" w:rsidP="00713633">
            <w:pPr>
              <w:spacing w:before="240"/>
              <w:jc w:val="both"/>
              <w:rPr>
                <w:rFonts w:cs="Arial"/>
                <w:noProof/>
                <w:sz w:val="18"/>
                <w:szCs w:val="18"/>
              </w:rPr>
            </w:pPr>
            <w:r w:rsidRPr="00114E1B">
              <w:rPr>
                <w:rFonts w:cs="Arial"/>
                <w:noProof/>
                <w:sz w:val="18"/>
                <w:szCs w:val="18"/>
              </w:rPr>
              <w:t xml:space="preserve">Bei der Bewertung, ob ein Unternehmen einen Beitrag zur Erreichung eines Umweltziels </w:t>
            </w:r>
            <w:r>
              <w:rPr>
                <w:rFonts w:cs="Arial"/>
                <w:noProof/>
                <w:sz w:val="18"/>
                <w:szCs w:val="18"/>
              </w:rPr>
              <w:t>und/</w:t>
            </w:r>
            <w:r w:rsidRPr="00114E1B">
              <w:rPr>
                <w:rFonts w:cs="Arial"/>
                <w:noProof/>
                <w:sz w:val="18"/>
                <w:szCs w:val="18"/>
              </w:rPr>
              <w:t xml:space="preserve">oder eines sozialen Ziels leistet, werden </w:t>
            </w:r>
            <w:r>
              <w:rPr>
                <w:rFonts w:cs="Arial"/>
                <w:noProof/>
                <w:sz w:val="18"/>
                <w:szCs w:val="18"/>
              </w:rPr>
              <w:t xml:space="preserve">durch den Datenanbieter unter anderem </w:t>
            </w:r>
            <w:r w:rsidRPr="00114E1B">
              <w:rPr>
                <w:rFonts w:cs="Arial"/>
                <w:noProof/>
                <w:sz w:val="18"/>
                <w:szCs w:val="18"/>
              </w:rPr>
              <w:t xml:space="preserve">die nachfolgenden </w:t>
            </w:r>
            <w:r>
              <w:rPr>
                <w:rFonts w:cs="Arial"/>
                <w:noProof/>
                <w:sz w:val="18"/>
                <w:szCs w:val="18"/>
              </w:rPr>
              <w:t>Themebereiche</w:t>
            </w:r>
            <w:r w:rsidRPr="00114E1B">
              <w:rPr>
                <w:rFonts w:cs="Arial"/>
                <w:noProof/>
                <w:sz w:val="18"/>
                <w:szCs w:val="18"/>
              </w:rPr>
              <w:t xml:space="preserve"> berücksichtigt</w:t>
            </w:r>
            <w:r>
              <w:rPr>
                <w:rFonts w:cs="Arial"/>
                <w:noProof/>
                <w:sz w:val="18"/>
                <w:szCs w:val="18"/>
              </w:rPr>
              <w:t>:</w:t>
            </w:r>
          </w:p>
          <w:p w14:paraId="660B6F82" w14:textId="77777777" w:rsidR="00713633" w:rsidRPr="00024056" w:rsidRDefault="00713633" w:rsidP="00AD5681">
            <w:pPr>
              <w:spacing w:before="240"/>
              <w:rPr>
                <w:rFonts w:cs="Arial"/>
                <w:noProof/>
                <w:sz w:val="18"/>
                <w:szCs w:val="18"/>
                <w:highlight w:val="yellow"/>
              </w:rPr>
            </w:pPr>
          </w:p>
          <w:tbl>
            <w:tblPr>
              <w:tblStyle w:val="Tabellenraster"/>
              <w:tblW w:w="7961" w:type="dxa"/>
              <w:tblLayout w:type="fixed"/>
              <w:tblLook w:val="04A0" w:firstRow="1" w:lastRow="0" w:firstColumn="1" w:lastColumn="0" w:noHBand="0" w:noVBand="1"/>
            </w:tblPr>
            <w:tblGrid>
              <w:gridCol w:w="3851"/>
              <w:gridCol w:w="4110"/>
            </w:tblGrid>
            <w:tr w:rsidR="00AD5681" w:rsidRPr="00024056" w14:paraId="4C87F456" w14:textId="77777777" w:rsidTr="00621C20">
              <w:tc>
                <w:tcPr>
                  <w:tcW w:w="3851" w:type="dxa"/>
                  <w:tcBorders>
                    <w:right w:val="single" w:sz="4" w:space="0" w:color="auto"/>
                  </w:tcBorders>
                </w:tcPr>
                <w:p w14:paraId="6CC5AFB3" w14:textId="77777777" w:rsidR="00AD5681" w:rsidRPr="00BF1F56" w:rsidRDefault="00AD5681" w:rsidP="00AD5681">
                  <w:pPr>
                    <w:autoSpaceDE w:val="0"/>
                    <w:autoSpaceDN w:val="0"/>
                    <w:adjustRightInd w:val="0"/>
                    <w:jc w:val="both"/>
                    <w:rPr>
                      <w:rFonts w:cs="Arial"/>
                      <w:noProof/>
                      <w:sz w:val="18"/>
                      <w:szCs w:val="18"/>
                    </w:rPr>
                  </w:pPr>
                  <w:r w:rsidRPr="00BF1F56">
                    <w:rPr>
                      <w:rFonts w:cs="Arial"/>
                      <w:noProof/>
                      <w:sz w:val="18"/>
                      <w:szCs w:val="18"/>
                    </w:rPr>
                    <w:t>Umweltthemen</w:t>
                  </w:r>
                </w:p>
              </w:tc>
              <w:tc>
                <w:tcPr>
                  <w:tcW w:w="4110" w:type="dxa"/>
                  <w:tcBorders>
                    <w:top w:val="single" w:sz="4" w:space="0" w:color="auto"/>
                    <w:left w:val="single" w:sz="4" w:space="0" w:color="auto"/>
                    <w:bottom w:val="single" w:sz="4" w:space="0" w:color="auto"/>
                    <w:right w:val="single" w:sz="4" w:space="0" w:color="auto"/>
                  </w:tcBorders>
                </w:tcPr>
                <w:p w14:paraId="76F267E0" w14:textId="77777777" w:rsidR="00AD5681" w:rsidRPr="00BF1F56" w:rsidRDefault="00AD5681" w:rsidP="00AD5681">
                  <w:pPr>
                    <w:autoSpaceDE w:val="0"/>
                    <w:autoSpaceDN w:val="0"/>
                    <w:adjustRightInd w:val="0"/>
                    <w:jc w:val="both"/>
                    <w:rPr>
                      <w:rFonts w:cs="Arial"/>
                      <w:noProof/>
                      <w:sz w:val="18"/>
                      <w:szCs w:val="18"/>
                    </w:rPr>
                  </w:pPr>
                  <w:r w:rsidRPr="00BF1F56">
                    <w:rPr>
                      <w:rFonts w:cs="Arial"/>
                      <w:noProof/>
                      <w:sz w:val="18"/>
                      <w:szCs w:val="18"/>
                    </w:rPr>
                    <w:t>Soziale Themen</w:t>
                  </w:r>
                </w:p>
              </w:tc>
            </w:tr>
            <w:tr w:rsidR="00AD5681" w:rsidRPr="00024056" w14:paraId="5B466CAA" w14:textId="77777777" w:rsidTr="00621C20">
              <w:tc>
                <w:tcPr>
                  <w:tcW w:w="3851" w:type="dxa"/>
                  <w:tcBorders>
                    <w:right w:val="single" w:sz="4" w:space="0" w:color="auto"/>
                  </w:tcBorders>
                </w:tcPr>
                <w:p w14:paraId="16B559BE" w14:textId="77777777" w:rsidR="00AD5681" w:rsidRPr="00BF1F56" w:rsidRDefault="00AD5681" w:rsidP="00AD5681">
                  <w:pPr>
                    <w:pStyle w:val="Listenabsatz"/>
                    <w:numPr>
                      <w:ilvl w:val="0"/>
                      <w:numId w:val="20"/>
                    </w:numPr>
                    <w:suppressAutoHyphens w:val="0"/>
                    <w:autoSpaceDE w:val="0"/>
                    <w:autoSpaceDN w:val="0"/>
                    <w:adjustRightInd w:val="0"/>
                    <w:ind w:left="204" w:hanging="142"/>
                    <w:rPr>
                      <w:rFonts w:cs="Arial"/>
                      <w:noProof/>
                      <w:sz w:val="18"/>
                      <w:szCs w:val="18"/>
                    </w:rPr>
                  </w:pPr>
                  <w:r w:rsidRPr="00BF1F56">
                    <w:rPr>
                      <w:rFonts w:cs="Arial"/>
                      <w:noProof/>
                      <w:sz w:val="18"/>
                      <w:szCs w:val="18"/>
                    </w:rPr>
                    <w:t>Eindämmung des Klimawandels und Energieeffizienz</w:t>
                  </w:r>
                </w:p>
                <w:p w14:paraId="464080FA" w14:textId="77777777" w:rsidR="00AD5681" w:rsidRPr="00BF1F56" w:rsidRDefault="00AD5681" w:rsidP="00AD5681">
                  <w:pPr>
                    <w:pStyle w:val="Listenabsatz"/>
                    <w:numPr>
                      <w:ilvl w:val="0"/>
                      <w:numId w:val="20"/>
                    </w:numPr>
                    <w:suppressAutoHyphens w:val="0"/>
                    <w:autoSpaceDE w:val="0"/>
                    <w:autoSpaceDN w:val="0"/>
                    <w:adjustRightInd w:val="0"/>
                    <w:ind w:left="204" w:hanging="142"/>
                    <w:rPr>
                      <w:rFonts w:cs="Arial"/>
                      <w:noProof/>
                      <w:sz w:val="18"/>
                      <w:szCs w:val="18"/>
                    </w:rPr>
                  </w:pPr>
                  <w:r w:rsidRPr="00BF1F56">
                    <w:rPr>
                      <w:rFonts w:cs="Arial"/>
                      <w:noProof/>
                      <w:sz w:val="18"/>
                      <w:szCs w:val="18"/>
                    </w:rPr>
                    <w:t>Vermeidung von Umweltverschmutzung und Abfallvermeidung</w:t>
                  </w:r>
                </w:p>
                <w:p w14:paraId="33A0BE14" w14:textId="77777777" w:rsidR="00AD5681" w:rsidRPr="00BF1F56" w:rsidRDefault="00AD5681" w:rsidP="00AD5681">
                  <w:pPr>
                    <w:pStyle w:val="Listenabsatz"/>
                    <w:numPr>
                      <w:ilvl w:val="0"/>
                      <w:numId w:val="20"/>
                    </w:numPr>
                    <w:suppressAutoHyphens w:val="0"/>
                    <w:autoSpaceDE w:val="0"/>
                    <w:autoSpaceDN w:val="0"/>
                    <w:adjustRightInd w:val="0"/>
                    <w:ind w:left="204" w:hanging="142"/>
                    <w:rPr>
                      <w:rFonts w:cs="Arial"/>
                      <w:noProof/>
                      <w:sz w:val="18"/>
                      <w:szCs w:val="18"/>
                    </w:rPr>
                  </w:pPr>
                  <w:r w:rsidRPr="00BF1F56">
                    <w:rPr>
                      <w:rFonts w:cs="Arial"/>
                      <w:noProof/>
                      <w:sz w:val="18"/>
                      <w:szCs w:val="18"/>
                    </w:rPr>
                    <w:t>Nachhaltige Bewirtschaftung von Wasser-, Forst- und Bodenressourcen</w:t>
                  </w:r>
                </w:p>
                <w:p w14:paraId="38A8D524" w14:textId="77777777" w:rsidR="00AD5681" w:rsidRPr="00BF1F56" w:rsidRDefault="00AD5681" w:rsidP="00AD5681">
                  <w:pPr>
                    <w:suppressAutoHyphens w:val="0"/>
                    <w:autoSpaceDE w:val="0"/>
                    <w:autoSpaceDN w:val="0"/>
                    <w:adjustRightInd w:val="0"/>
                    <w:ind w:left="62"/>
                    <w:rPr>
                      <w:rFonts w:cs="Arial"/>
                      <w:noProof/>
                      <w:sz w:val="18"/>
                      <w:szCs w:val="18"/>
                    </w:rPr>
                  </w:pPr>
                </w:p>
              </w:tc>
              <w:tc>
                <w:tcPr>
                  <w:tcW w:w="4110" w:type="dxa"/>
                  <w:tcBorders>
                    <w:top w:val="single" w:sz="4" w:space="0" w:color="auto"/>
                    <w:left w:val="single" w:sz="4" w:space="0" w:color="auto"/>
                    <w:bottom w:val="single" w:sz="4" w:space="0" w:color="auto"/>
                    <w:right w:val="single" w:sz="4" w:space="0" w:color="auto"/>
                  </w:tcBorders>
                </w:tcPr>
                <w:p w14:paraId="400591AE" w14:textId="77777777" w:rsidR="00AD5681" w:rsidRPr="004315B9" w:rsidRDefault="00AD5681" w:rsidP="00AD5681">
                  <w:pPr>
                    <w:pStyle w:val="Listenabsatz"/>
                    <w:numPr>
                      <w:ilvl w:val="0"/>
                      <w:numId w:val="20"/>
                    </w:numPr>
                    <w:suppressAutoHyphens w:val="0"/>
                    <w:autoSpaceDE w:val="0"/>
                    <w:autoSpaceDN w:val="0"/>
                    <w:adjustRightInd w:val="0"/>
                    <w:ind w:left="204" w:hanging="142"/>
                    <w:rPr>
                      <w:rFonts w:cs="Arial"/>
                      <w:noProof/>
                      <w:sz w:val="18"/>
                      <w:szCs w:val="18"/>
                    </w:rPr>
                  </w:pPr>
                  <w:r w:rsidRPr="004315B9">
                    <w:rPr>
                      <w:rFonts w:cs="Arial"/>
                      <w:noProof/>
                      <w:sz w:val="18"/>
                      <w:szCs w:val="18"/>
                    </w:rPr>
                    <w:t>Zugang zu Grundbedürfnissen wie Gesundheitsversorgung</w:t>
                  </w:r>
                  <w:r>
                    <w:rPr>
                      <w:rFonts w:cs="Arial"/>
                      <w:noProof/>
                      <w:sz w:val="18"/>
                      <w:szCs w:val="18"/>
                    </w:rPr>
                    <w:t xml:space="preserve">, </w:t>
                  </w:r>
                  <w:r w:rsidRPr="004315B9">
                    <w:rPr>
                      <w:rFonts w:cs="Arial"/>
                      <w:noProof/>
                      <w:sz w:val="18"/>
                      <w:szCs w:val="18"/>
                    </w:rPr>
                    <w:t>Wohnraum und Ernährung</w:t>
                  </w:r>
                </w:p>
                <w:p w14:paraId="30B2A49E" w14:textId="77777777" w:rsidR="00AD5681" w:rsidRPr="00BF1F56" w:rsidRDefault="00AD5681" w:rsidP="00AD5681">
                  <w:pPr>
                    <w:pStyle w:val="Listenabsatz"/>
                    <w:numPr>
                      <w:ilvl w:val="0"/>
                      <w:numId w:val="20"/>
                    </w:numPr>
                    <w:suppressAutoHyphens w:val="0"/>
                    <w:autoSpaceDE w:val="0"/>
                    <w:autoSpaceDN w:val="0"/>
                    <w:adjustRightInd w:val="0"/>
                    <w:ind w:left="204" w:hanging="142"/>
                    <w:rPr>
                      <w:rFonts w:cs="Arial"/>
                      <w:noProof/>
                      <w:sz w:val="18"/>
                      <w:szCs w:val="18"/>
                    </w:rPr>
                  </w:pPr>
                  <w:r w:rsidRPr="00BF1F56">
                    <w:rPr>
                      <w:rFonts w:cs="Arial"/>
                      <w:noProof/>
                      <w:sz w:val="18"/>
                      <w:szCs w:val="18"/>
                    </w:rPr>
                    <w:t>Bereitstellung von KMU- und Privatkrediten</w:t>
                  </w:r>
                </w:p>
                <w:p w14:paraId="50620429" w14:textId="77777777" w:rsidR="00AD5681" w:rsidRPr="00BF1F56" w:rsidRDefault="00AD5681" w:rsidP="00AD5681">
                  <w:pPr>
                    <w:pStyle w:val="Listenabsatz"/>
                    <w:numPr>
                      <w:ilvl w:val="0"/>
                      <w:numId w:val="20"/>
                    </w:numPr>
                    <w:suppressAutoHyphens w:val="0"/>
                    <w:autoSpaceDE w:val="0"/>
                    <w:autoSpaceDN w:val="0"/>
                    <w:adjustRightInd w:val="0"/>
                    <w:ind w:left="204" w:hanging="142"/>
                    <w:rPr>
                      <w:rFonts w:cs="Arial"/>
                      <w:noProof/>
                      <w:sz w:val="18"/>
                      <w:szCs w:val="18"/>
                    </w:rPr>
                  </w:pPr>
                  <w:r w:rsidRPr="00BF1F56">
                    <w:rPr>
                      <w:rFonts w:cs="Arial"/>
                      <w:noProof/>
                      <w:sz w:val="18"/>
                      <w:szCs w:val="18"/>
                    </w:rPr>
                    <w:t>Bildungsdienstleistungen und Überbrückung der digitalen Kluft in den am wenigsten entwickelten Ländern</w:t>
                  </w:r>
                </w:p>
              </w:tc>
            </w:tr>
          </w:tbl>
          <w:p w14:paraId="37C39272" w14:textId="77777777" w:rsidR="00AD5681" w:rsidRPr="00BF1F56" w:rsidRDefault="00AD5681" w:rsidP="00713633">
            <w:pPr>
              <w:spacing w:before="240"/>
              <w:jc w:val="both"/>
              <w:rPr>
                <w:rFonts w:cs="Arial"/>
                <w:noProof/>
                <w:sz w:val="18"/>
                <w:szCs w:val="18"/>
              </w:rPr>
            </w:pPr>
            <w:r w:rsidRPr="00BF1F56">
              <w:rPr>
                <w:rFonts w:cs="Arial"/>
                <w:noProof/>
                <w:sz w:val="18"/>
                <w:szCs w:val="18"/>
              </w:rPr>
              <w:t xml:space="preserve">Eine Fremd- oder Eigenkapitalinvestition in ein Unternehmen (bspw. Aktie oder Anleihe) wird dann als Investition zur Erreichung eines Umweltziels </w:t>
            </w:r>
            <w:r>
              <w:rPr>
                <w:rFonts w:cs="Arial"/>
                <w:noProof/>
                <w:sz w:val="18"/>
                <w:szCs w:val="18"/>
              </w:rPr>
              <w:t>und/</w:t>
            </w:r>
            <w:r w:rsidRPr="00BF1F56">
              <w:rPr>
                <w:rFonts w:cs="Arial"/>
                <w:noProof/>
                <w:sz w:val="18"/>
                <w:szCs w:val="18"/>
              </w:rPr>
              <w:t xml:space="preserve">oder sozialen Ziels eingestuft, wenn das Unternehmen mindestens 20% des Umsatzes durch Produkte oder Dienstleistungen in den oben genannten Themenbereichen erwirtschaftet. </w:t>
            </w:r>
            <w:r>
              <w:rPr>
                <w:rFonts w:cs="Arial"/>
                <w:noProof/>
                <w:sz w:val="18"/>
                <w:szCs w:val="18"/>
              </w:rPr>
              <w:t>D</w:t>
            </w:r>
            <w:r w:rsidRPr="00BF1F56">
              <w:rPr>
                <w:rFonts w:cs="Arial"/>
                <w:noProof/>
                <w:sz w:val="18"/>
                <w:szCs w:val="18"/>
              </w:rPr>
              <w:t>amit finanzieren die nachhaltige</w:t>
            </w:r>
            <w:r>
              <w:rPr>
                <w:rFonts w:cs="Arial"/>
                <w:noProof/>
                <w:sz w:val="18"/>
                <w:szCs w:val="18"/>
              </w:rPr>
              <w:t>n</w:t>
            </w:r>
            <w:r w:rsidRPr="00BF1F56">
              <w:rPr>
                <w:rFonts w:cs="Arial"/>
                <w:noProof/>
                <w:sz w:val="18"/>
                <w:szCs w:val="18"/>
              </w:rPr>
              <w:t xml:space="preserve"> Investitionen des Anlagekonzepts Produkte oder Dienstleistungen, die einen positiven Einfluss auf die Gesellschaft und</w:t>
            </w:r>
            <w:r>
              <w:rPr>
                <w:rFonts w:cs="Arial"/>
                <w:noProof/>
                <w:sz w:val="18"/>
                <w:szCs w:val="18"/>
              </w:rPr>
              <w:t>/oder</w:t>
            </w:r>
            <w:r w:rsidRPr="00BF1F56">
              <w:rPr>
                <w:rFonts w:cs="Arial"/>
                <w:noProof/>
                <w:sz w:val="18"/>
                <w:szCs w:val="18"/>
              </w:rPr>
              <w:t xml:space="preserve"> die Umwelt im Sinne der oben genannten Themenbereiche haben.</w:t>
            </w:r>
            <w:r>
              <w:rPr>
                <w:rFonts w:cs="Arial"/>
                <w:noProof/>
                <w:sz w:val="18"/>
                <w:szCs w:val="18"/>
              </w:rPr>
              <w:t xml:space="preserve"> Eine Unterscheidung zwischen sozialen und Umweltthemen wird dabei nicht vorgenommen.</w:t>
            </w:r>
          </w:p>
          <w:p w14:paraId="64D5ED56" w14:textId="77777777" w:rsidR="00AD5681" w:rsidRDefault="00AD5681" w:rsidP="00713633">
            <w:pPr>
              <w:spacing w:before="240"/>
              <w:jc w:val="both"/>
              <w:rPr>
                <w:rFonts w:cs="Arial"/>
                <w:noProof/>
                <w:sz w:val="18"/>
                <w:szCs w:val="18"/>
              </w:rPr>
            </w:pPr>
            <w:r w:rsidRPr="00BF1F56">
              <w:rPr>
                <w:rFonts w:cs="Arial"/>
                <w:noProof/>
                <w:sz w:val="18"/>
                <w:szCs w:val="18"/>
              </w:rPr>
              <w:t>Ebenso finanzieren die im Anlagekonzept getätigten nachhaltigen Investitionen Unternehmen, die ein von der Science Based Target Initiative (sbti) bestätigtes Klimaziel veröffentlicht haben.</w:t>
            </w:r>
          </w:p>
          <w:p w14:paraId="7DFEF8D8" w14:textId="77777777" w:rsidR="00AD5681" w:rsidRPr="00024056" w:rsidRDefault="00AD5681" w:rsidP="00AD5681">
            <w:pPr>
              <w:spacing w:before="240"/>
              <w:rPr>
                <w:rFonts w:cs="Arial"/>
                <w:noProof/>
                <w:sz w:val="18"/>
                <w:szCs w:val="18"/>
                <w:highlight w:val="yellow"/>
              </w:rPr>
            </w:pPr>
          </w:p>
          <w:p w14:paraId="399D794B" w14:textId="77777777" w:rsidR="00AD5681" w:rsidRPr="00AA335F" w:rsidRDefault="00AD5681" w:rsidP="00AD5681">
            <w:pPr>
              <w:tabs>
                <w:tab w:val="left" w:pos="170"/>
              </w:tabs>
              <w:spacing w:after="40"/>
              <w:rPr>
                <w:rFonts w:cs="Arial"/>
                <w:noProof/>
                <w:sz w:val="13"/>
                <w:szCs w:val="13"/>
              </w:rPr>
            </w:pPr>
            <w:r w:rsidRPr="00AA335F">
              <w:rPr>
                <w:rFonts w:cs="Arial"/>
                <w:b/>
                <w:i/>
                <w:sz w:val="13"/>
                <w:szCs w:val="13"/>
                <w:vertAlign w:val="superscript"/>
              </w:rPr>
              <w:t>1</w:t>
            </w:r>
            <w:r w:rsidRPr="00AA335F">
              <w:rPr>
                <w:rFonts w:cs="Arial"/>
                <w:noProof/>
                <w:sz w:val="13"/>
                <w:szCs w:val="13"/>
                <w:vertAlign w:val="superscript"/>
              </w:rPr>
              <w:t xml:space="preserve"> </w:t>
            </w:r>
            <w:r>
              <w:rPr>
                <w:rFonts w:cs="Arial"/>
                <w:noProof/>
                <w:sz w:val="13"/>
                <w:szCs w:val="13"/>
                <w:vertAlign w:val="superscript"/>
              </w:rPr>
              <w:tab/>
            </w:r>
            <w:r w:rsidRPr="00AA335F">
              <w:rPr>
                <w:rFonts w:cs="Arial"/>
                <w:noProof/>
                <w:sz w:val="13"/>
                <w:szCs w:val="13"/>
              </w:rPr>
              <w:t xml:space="preserve">Details hierzu siehe </w:t>
            </w:r>
            <w:r>
              <w:rPr>
                <w:rFonts w:cs="Arial"/>
                <w:noProof/>
                <w:sz w:val="13"/>
                <w:szCs w:val="13"/>
              </w:rPr>
              <w:t>Abschnitt</w:t>
            </w:r>
            <w:r w:rsidRPr="00AA335F">
              <w:rPr>
                <w:rFonts w:cs="Arial"/>
                <w:noProof/>
                <w:sz w:val="13"/>
                <w:szCs w:val="13"/>
              </w:rPr>
              <w:t xml:space="preserve"> </w:t>
            </w:r>
            <w:r>
              <w:rPr>
                <w:rFonts w:cs="Arial"/>
                <w:noProof/>
                <w:sz w:val="13"/>
                <w:szCs w:val="13"/>
              </w:rPr>
              <w:t>‚</w:t>
            </w:r>
            <w:r w:rsidRPr="00EA1A30">
              <w:rPr>
                <w:rFonts w:cs="Arial"/>
                <w:noProof/>
                <w:sz w:val="13"/>
                <w:szCs w:val="13"/>
              </w:rPr>
              <w:t>Inwiefern haben die nachhaltigen Investitionen, die mit dem Finanzprodukt teilweise getätigt wurden,</w:t>
            </w:r>
            <w:r>
              <w:rPr>
                <w:rFonts w:cs="Arial"/>
                <w:noProof/>
                <w:sz w:val="13"/>
                <w:szCs w:val="13"/>
              </w:rPr>
              <w:t xml:space="preserve"> </w:t>
            </w:r>
            <w:r>
              <w:rPr>
                <w:rFonts w:cs="Arial"/>
                <w:noProof/>
                <w:sz w:val="13"/>
                <w:szCs w:val="13"/>
              </w:rPr>
              <w:tab/>
            </w:r>
            <w:r>
              <w:rPr>
                <w:rFonts w:cs="Arial"/>
                <w:noProof/>
                <w:sz w:val="13"/>
                <w:szCs w:val="13"/>
              </w:rPr>
              <w:tab/>
            </w:r>
            <w:r w:rsidRPr="00EA1A30">
              <w:rPr>
                <w:rFonts w:cs="Arial"/>
                <w:noProof/>
                <w:sz w:val="13"/>
                <w:szCs w:val="13"/>
              </w:rPr>
              <w:t>ökologisch oder sozial nachhaltigen Anlagezielen nicht erheblich geschadet</w:t>
            </w:r>
            <w:r w:rsidRPr="00AA335F">
              <w:rPr>
                <w:rFonts w:cs="Arial"/>
                <w:noProof/>
                <w:sz w:val="13"/>
                <w:szCs w:val="13"/>
              </w:rPr>
              <w:t>?</w:t>
            </w:r>
            <w:r>
              <w:rPr>
                <w:rFonts w:cs="Arial"/>
                <w:noProof/>
                <w:sz w:val="13"/>
                <w:szCs w:val="13"/>
              </w:rPr>
              <w:t>‘</w:t>
            </w:r>
          </w:p>
          <w:p w14:paraId="694311C7" w14:textId="77777777" w:rsidR="00AD5681" w:rsidRDefault="00AD5681" w:rsidP="00AD5681">
            <w:pPr>
              <w:spacing w:after="40"/>
              <w:rPr>
                <w:rFonts w:cs="Arial"/>
                <w:noProof/>
                <w:sz w:val="13"/>
                <w:szCs w:val="13"/>
              </w:rPr>
            </w:pPr>
            <w:r w:rsidRPr="00AA335F">
              <w:rPr>
                <w:rFonts w:cs="Arial"/>
                <w:noProof/>
                <w:sz w:val="13"/>
                <w:szCs w:val="13"/>
                <w:vertAlign w:val="superscript"/>
              </w:rPr>
              <w:t>2</w:t>
            </w:r>
            <w:r w:rsidRPr="00AA335F">
              <w:rPr>
                <w:rFonts w:cs="Arial"/>
                <w:noProof/>
                <w:sz w:val="13"/>
                <w:szCs w:val="13"/>
              </w:rPr>
              <w:t xml:space="preserve"> </w:t>
            </w:r>
            <w:r>
              <w:rPr>
                <w:rFonts w:cs="Arial"/>
                <w:noProof/>
                <w:sz w:val="13"/>
                <w:szCs w:val="13"/>
              </w:rPr>
              <w:tab/>
              <w:t xml:space="preserve">Zum Nachweis einer guten Unternehmensführung stellt der ESG-Datenanbieter auf sein ESG-Rating ab. </w:t>
            </w:r>
            <w:r w:rsidRPr="00AF09E0">
              <w:rPr>
                <w:rFonts w:cs="Arial"/>
                <w:noProof/>
                <w:sz w:val="13"/>
                <w:szCs w:val="13"/>
              </w:rPr>
              <w:t xml:space="preserve">Ein ESG-Rating von BB oder </w:t>
            </w:r>
            <w:r>
              <w:rPr>
                <w:rFonts w:cs="Arial"/>
                <w:noProof/>
                <w:sz w:val="13"/>
                <w:szCs w:val="13"/>
              </w:rPr>
              <w:tab/>
            </w:r>
            <w:r w:rsidRPr="00AF09E0">
              <w:rPr>
                <w:rFonts w:cs="Arial"/>
                <w:noProof/>
                <w:sz w:val="13"/>
                <w:szCs w:val="13"/>
              </w:rPr>
              <w:t xml:space="preserve">höher zeigt im Allgemeinen an, dass ein Unternehmen in der Lage ist, Ressourcen zu verwalten, wichtige, potenziell finanziell relevante </w:t>
            </w:r>
            <w:r>
              <w:rPr>
                <w:rFonts w:cs="Arial"/>
                <w:noProof/>
                <w:sz w:val="13"/>
                <w:szCs w:val="13"/>
              </w:rPr>
              <w:tab/>
            </w:r>
            <w:r w:rsidRPr="00AF09E0">
              <w:rPr>
                <w:rFonts w:cs="Arial"/>
                <w:noProof/>
                <w:sz w:val="13"/>
                <w:szCs w:val="13"/>
              </w:rPr>
              <w:t xml:space="preserve">ESG-Risiken und -Chancen zu mindern und </w:t>
            </w:r>
            <w:r>
              <w:rPr>
                <w:rFonts w:cs="Arial"/>
                <w:noProof/>
                <w:sz w:val="13"/>
                <w:szCs w:val="13"/>
              </w:rPr>
              <w:t xml:space="preserve">damit </w:t>
            </w:r>
            <w:r w:rsidRPr="00AF09E0">
              <w:rPr>
                <w:rFonts w:cs="Arial"/>
                <w:noProof/>
                <w:sz w:val="13"/>
                <w:szCs w:val="13"/>
              </w:rPr>
              <w:t>die Erwartungen an die Unternehmensführung zu erfüllen.</w:t>
            </w:r>
          </w:p>
          <w:p w14:paraId="251F8DB2" w14:textId="537D28B1" w:rsidR="00FB4811" w:rsidRDefault="00FB4811">
            <w:pPr>
              <w:rPr>
                <w:rFonts w:cs="Arial"/>
                <w:b/>
                <w:i/>
                <w:sz w:val="18"/>
                <w:szCs w:val="18"/>
              </w:rPr>
            </w:pPr>
          </w:p>
        </w:tc>
      </w:tr>
      <w:tr w:rsidR="00FB4811" w14:paraId="2D26E451" w14:textId="77777777" w:rsidTr="00EA5280">
        <w:trPr>
          <w:trHeight w:val="992"/>
        </w:trPr>
        <w:tc>
          <w:tcPr>
            <w:tcW w:w="1702" w:type="dxa"/>
            <w:vMerge w:val="restart"/>
            <w:shd w:val="clear" w:color="auto" w:fill="F2F2F2" w:themeFill="background1" w:themeFillShade="F2"/>
          </w:tcPr>
          <w:p w14:paraId="771C8D9D" w14:textId="77777777" w:rsidR="00FB4811" w:rsidRDefault="00B31CBF">
            <w:pPr>
              <w:rPr>
                <w:rFonts w:cs="Arial"/>
                <w:szCs w:val="15"/>
              </w:rPr>
            </w:pPr>
            <w:r>
              <w:rPr>
                <w:rFonts w:cs="Arial"/>
                <w:szCs w:val="15"/>
              </w:rPr>
              <w:t xml:space="preserve">Bei den </w:t>
            </w:r>
            <w:r w:rsidRPr="00AF1B16">
              <w:rPr>
                <w:rFonts w:cs="Arial"/>
                <w:b/>
                <w:szCs w:val="15"/>
              </w:rPr>
              <w:t>wichtigsten</w:t>
            </w:r>
            <w:r>
              <w:rPr>
                <w:rFonts w:cs="Arial"/>
                <w:szCs w:val="15"/>
              </w:rPr>
              <w:t xml:space="preserve"> </w:t>
            </w:r>
            <w:r w:rsidRPr="00AF1B16">
              <w:rPr>
                <w:rFonts w:cs="Arial"/>
                <w:b/>
                <w:szCs w:val="15"/>
              </w:rPr>
              <w:t>nachteiligen</w:t>
            </w:r>
            <w:r>
              <w:rPr>
                <w:rFonts w:cs="Arial"/>
                <w:szCs w:val="15"/>
              </w:rPr>
              <w:t xml:space="preserve"> </w:t>
            </w:r>
            <w:r w:rsidRPr="00AF1B16">
              <w:rPr>
                <w:rFonts w:cs="Arial"/>
                <w:b/>
                <w:szCs w:val="15"/>
              </w:rPr>
              <w:t>Auswirkungen</w:t>
            </w:r>
            <w:r>
              <w:rPr>
                <w:rFonts w:cs="Arial"/>
                <w:szCs w:val="15"/>
              </w:rPr>
              <w:t xml:space="preserve"> handelt es sich um die bedeutendsten nachteiligen Auswirkungen von Investitionsentscheidungen auf Nachhaltig</w:t>
            </w:r>
            <w:r>
              <w:rPr>
                <w:rFonts w:cs="Arial"/>
                <w:szCs w:val="15"/>
              </w:rPr>
              <w:softHyphen/>
              <w:t>keitsfaktoren in den Bereichen Umwelt, Soziales und Beschäfti</w:t>
            </w:r>
            <w:r>
              <w:rPr>
                <w:rFonts w:cs="Arial"/>
                <w:szCs w:val="15"/>
              </w:rPr>
              <w:softHyphen/>
              <w:t>gung, Achtung der Menschenrechte und Bekämpfung von Korruption und Bestechung.</w:t>
            </w:r>
          </w:p>
        </w:tc>
        <w:tc>
          <w:tcPr>
            <w:tcW w:w="572" w:type="dxa"/>
          </w:tcPr>
          <w:p w14:paraId="1D71BEAB" w14:textId="77777777" w:rsidR="00FB4811" w:rsidRDefault="00B31CBF">
            <w:pPr>
              <w:ind w:left="360"/>
              <w:jc w:val="both"/>
              <w:rPr>
                <w:rFonts w:eastAsia="Calibri" w:cs="Arial"/>
                <w:i/>
                <w:color w:val="000000"/>
                <w:sz w:val="18"/>
                <w:szCs w:val="18"/>
              </w:rPr>
            </w:pPr>
            <w:r>
              <w:rPr>
                <w:rFonts w:cs="Arial"/>
                <w:noProof/>
                <w:sz w:val="18"/>
                <w:szCs w:val="18"/>
              </w:rPr>
              <w:drawing>
                <wp:anchor distT="0" distB="0" distL="114300" distR="114300" simplePos="0" relativeHeight="251715584" behindDoc="1" locked="0" layoutInCell="1" allowOverlap="1" wp14:anchorId="1DD73844" wp14:editId="649648C4">
                  <wp:simplePos x="0" y="0"/>
                  <wp:positionH relativeFrom="column">
                    <wp:posOffset>49530</wp:posOffset>
                  </wp:positionH>
                  <wp:positionV relativeFrom="paragraph">
                    <wp:posOffset>-11249</wp:posOffset>
                  </wp:positionV>
                  <wp:extent cx="245533" cy="203200"/>
                  <wp:effectExtent l="0" t="0" r="254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2FAC58B3" w14:textId="77777777" w:rsidR="00FB4811" w:rsidRDefault="00B31CBF">
            <w:pPr>
              <w:ind w:left="28" w:hanging="28"/>
              <w:jc w:val="both"/>
              <w:rPr>
                <w:rFonts w:eastAsia="Arial" w:cs="Arial"/>
                <w:i/>
                <w:color w:val="C00000"/>
                <w:sz w:val="18"/>
                <w:szCs w:val="18"/>
              </w:rPr>
            </w:pPr>
            <w:r>
              <w:rPr>
                <w:rFonts w:cs="Arial"/>
                <w:b/>
                <w:bCs/>
                <w:i/>
                <w:sz w:val="18"/>
                <w:szCs w:val="18"/>
              </w:rPr>
              <w:t>Inwiefern haben die nachhaltigen Investitionen, die mit dem Finanzprodukt</w:t>
            </w:r>
            <w:r>
              <w:rPr>
                <w:rFonts w:eastAsia="Arial" w:cs="Arial"/>
                <w:b/>
                <w:i/>
                <w:color w:val="000000"/>
                <w:sz w:val="16"/>
                <w:szCs w:val="22"/>
                <w:lang w:eastAsia="en-US"/>
              </w:rPr>
              <w:t xml:space="preserve"> </w:t>
            </w:r>
            <w:r>
              <w:rPr>
                <w:rFonts w:cs="Arial"/>
                <w:b/>
                <w:bCs/>
                <w:i/>
                <w:sz w:val="18"/>
                <w:szCs w:val="18"/>
              </w:rPr>
              <w:t xml:space="preserve">teilweise getätigt wurden, ökologisch oder sozial nachhaltigen Anlagezielen nicht erheblich geschadet? </w:t>
            </w:r>
          </w:p>
          <w:p w14:paraId="10AF2F95" w14:textId="56F03CEB" w:rsidR="00AD5681" w:rsidRPr="00037FF5" w:rsidRDefault="00C34383" w:rsidP="00AD5681">
            <w:pPr>
              <w:ind w:left="28" w:hanging="28"/>
              <w:jc w:val="both"/>
              <w:rPr>
                <w:rFonts w:cs="Arial"/>
                <w:noProof/>
                <w:sz w:val="18"/>
                <w:szCs w:val="18"/>
              </w:rPr>
            </w:pPr>
            <w:r>
              <w:rPr>
                <w:rFonts w:cs="Arial"/>
                <w:noProof/>
                <w:sz w:val="18"/>
                <w:szCs w:val="18"/>
              </w:rPr>
              <w:br/>
            </w:r>
            <w:r w:rsidR="00AD5681" w:rsidRPr="00037FF5">
              <w:rPr>
                <w:rFonts w:cs="Arial"/>
                <w:noProof/>
                <w:sz w:val="18"/>
                <w:szCs w:val="18"/>
              </w:rPr>
              <w:t>Über weitergehende Ausschlüsse</w:t>
            </w:r>
            <w:r w:rsidR="00AD5681">
              <w:rPr>
                <w:rFonts w:cs="Arial"/>
                <w:noProof/>
                <w:sz w:val="18"/>
                <w:szCs w:val="18"/>
              </w:rPr>
              <w:t xml:space="preserve">, die teilweise über den Mindeststandard des Konzerns hinausgehen, stellt der Datenanbieter </w:t>
            </w:r>
            <w:r w:rsidR="00AD5681" w:rsidRPr="00037FF5">
              <w:rPr>
                <w:rFonts w:cs="Arial"/>
                <w:noProof/>
                <w:sz w:val="18"/>
                <w:szCs w:val="18"/>
              </w:rPr>
              <w:t>sicher, dass die im Finanzprodukt getätigten nachhaltigen Investitionen die sozialen und ökologischen Anlageziele</w:t>
            </w:r>
            <w:r w:rsidR="00AD5681">
              <w:rPr>
                <w:rFonts w:cs="Arial"/>
                <w:noProof/>
                <w:sz w:val="18"/>
                <w:szCs w:val="18"/>
              </w:rPr>
              <w:t xml:space="preserve"> (siehe Frage „</w:t>
            </w:r>
            <w:r w:rsidR="00AD5681" w:rsidRPr="00037FF5">
              <w:rPr>
                <w:rFonts w:cs="Arial"/>
                <w:noProof/>
                <w:sz w:val="18"/>
                <w:szCs w:val="18"/>
              </w:rPr>
              <w:t>Welche Ziele verfolgten die nachhaltigen Investitionen, die mit dem Finanzprodukt teilweise getätigt wurden, und wie trägt die nachhaltige Investition zu diesen Zielen bei</w:t>
            </w:r>
            <w:r w:rsidR="00AD5681">
              <w:rPr>
                <w:rFonts w:cs="Arial"/>
                <w:noProof/>
                <w:sz w:val="18"/>
                <w:szCs w:val="18"/>
              </w:rPr>
              <w:t>?“)</w:t>
            </w:r>
            <w:r w:rsidR="00AD5681" w:rsidRPr="00037FF5">
              <w:rPr>
                <w:rFonts w:cs="Arial"/>
                <w:noProof/>
                <w:sz w:val="18"/>
                <w:szCs w:val="18"/>
              </w:rPr>
              <w:t xml:space="preserve"> nicht erheblich beeinträchtigen: </w:t>
            </w:r>
          </w:p>
          <w:p w14:paraId="2BC114C3" w14:textId="77777777" w:rsidR="00AD5681" w:rsidRPr="00037FF5" w:rsidRDefault="00AD5681" w:rsidP="00AD5681">
            <w:pPr>
              <w:pStyle w:val="Listenabsatz"/>
              <w:numPr>
                <w:ilvl w:val="0"/>
                <w:numId w:val="22"/>
              </w:numPr>
              <w:spacing w:after="23"/>
              <w:ind w:right="360"/>
              <w:textAlignment w:val="baseline"/>
              <w:rPr>
                <w:rFonts w:cs="Arial"/>
                <w:noProof/>
                <w:sz w:val="18"/>
                <w:szCs w:val="18"/>
              </w:rPr>
            </w:pPr>
            <w:r w:rsidRPr="00037FF5">
              <w:rPr>
                <w:rFonts w:cs="Arial"/>
                <w:noProof/>
                <w:sz w:val="18"/>
                <w:szCs w:val="18"/>
              </w:rPr>
              <w:t>Keine Investitionen in Unternehmen, die in Verbindung mit der Produktion kontroverser Waffen stehen</w:t>
            </w:r>
          </w:p>
          <w:p w14:paraId="29464812" w14:textId="77777777" w:rsidR="00AD5681" w:rsidRPr="00037FF5" w:rsidRDefault="00AD5681" w:rsidP="00AD5681">
            <w:pPr>
              <w:pStyle w:val="Listenabsatz"/>
              <w:numPr>
                <w:ilvl w:val="0"/>
                <w:numId w:val="22"/>
              </w:numPr>
              <w:spacing w:after="23"/>
              <w:ind w:right="360"/>
              <w:textAlignment w:val="baseline"/>
              <w:rPr>
                <w:rFonts w:cs="Arial"/>
                <w:noProof/>
                <w:sz w:val="18"/>
                <w:szCs w:val="18"/>
              </w:rPr>
            </w:pPr>
            <w:r w:rsidRPr="00037FF5">
              <w:rPr>
                <w:rFonts w:cs="Arial"/>
                <w:noProof/>
                <w:sz w:val="18"/>
                <w:szCs w:val="18"/>
              </w:rPr>
              <w:t xml:space="preserve">Keine Investitionen in Unternehmen, die mehr als 1 % der Umsätze aus der Förderung thermischer Kohle generieren </w:t>
            </w:r>
          </w:p>
          <w:p w14:paraId="08479C1B" w14:textId="77777777" w:rsidR="00AD5681" w:rsidRPr="00037FF5" w:rsidRDefault="00AD5681" w:rsidP="00AD5681">
            <w:pPr>
              <w:pStyle w:val="Listenabsatz"/>
              <w:numPr>
                <w:ilvl w:val="0"/>
                <w:numId w:val="22"/>
              </w:numPr>
              <w:spacing w:after="23"/>
              <w:ind w:right="360"/>
              <w:textAlignment w:val="baseline"/>
              <w:rPr>
                <w:rFonts w:cs="Arial"/>
                <w:noProof/>
                <w:sz w:val="18"/>
                <w:szCs w:val="18"/>
              </w:rPr>
            </w:pPr>
            <w:r w:rsidRPr="00037FF5">
              <w:rPr>
                <w:rFonts w:cs="Arial"/>
                <w:noProof/>
                <w:sz w:val="18"/>
                <w:szCs w:val="18"/>
              </w:rPr>
              <w:t>Keine Investition in Unternehmen, die Tabakprodukte herstellen und keine Investitionen in Unternehmen, die mehr als 5% Umsatz aus tabakbezogenen Geschäftstätigkeiten generieren</w:t>
            </w:r>
          </w:p>
          <w:p w14:paraId="01D395CF" w14:textId="57603F47" w:rsidR="00FB4811" w:rsidRDefault="00AD5681" w:rsidP="00AD5681">
            <w:pPr>
              <w:ind w:left="28" w:hanging="28"/>
              <w:jc w:val="both"/>
              <w:rPr>
                <w:rFonts w:cs="Arial"/>
                <w:b/>
                <w:bCs/>
                <w:sz w:val="18"/>
                <w:szCs w:val="18"/>
              </w:rPr>
            </w:pPr>
            <w:r w:rsidRPr="00037FF5">
              <w:rPr>
                <w:rFonts w:cs="Arial"/>
                <w:noProof/>
                <w:sz w:val="18"/>
                <w:szCs w:val="18"/>
              </w:rPr>
              <w:t>Keine Investition in Unternehmen, die in schwerwiegende Kontroversen verwickelt sind</w:t>
            </w:r>
            <w:r>
              <w:rPr>
                <w:rFonts w:cs="Arial"/>
                <w:b/>
                <w:bCs/>
                <w:sz w:val="18"/>
                <w:szCs w:val="18"/>
              </w:rPr>
              <w:t xml:space="preserve"> </w:t>
            </w:r>
          </w:p>
        </w:tc>
      </w:tr>
      <w:tr w:rsidR="00FB4811" w14:paraId="3F0A001E" w14:textId="77777777" w:rsidTr="00EA5280">
        <w:trPr>
          <w:trHeight w:val="1051"/>
        </w:trPr>
        <w:tc>
          <w:tcPr>
            <w:tcW w:w="1702" w:type="dxa"/>
            <w:vMerge/>
            <w:shd w:val="clear" w:color="auto" w:fill="F2F2F2" w:themeFill="background1" w:themeFillShade="F2"/>
          </w:tcPr>
          <w:p w14:paraId="4811C128" w14:textId="77777777" w:rsidR="00FB4811" w:rsidRDefault="00FB4811">
            <w:pPr>
              <w:jc w:val="both"/>
              <w:rPr>
                <w:rFonts w:cs="Arial"/>
                <w:sz w:val="18"/>
                <w:szCs w:val="18"/>
              </w:rPr>
            </w:pPr>
          </w:p>
        </w:tc>
        <w:tc>
          <w:tcPr>
            <w:tcW w:w="572" w:type="dxa"/>
          </w:tcPr>
          <w:p w14:paraId="6C2C022E" w14:textId="77777777" w:rsidR="00FB4811" w:rsidRDefault="00FB4811">
            <w:pPr>
              <w:ind w:left="360"/>
              <w:jc w:val="both"/>
              <w:rPr>
                <w:rFonts w:eastAsia="Calibri" w:cs="Arial"/>
                <w:i/>
                <w:color w:val="000000"/>
                <w:sz w:val="18"/>
                <w:szCs w:val="18"/>
              </w:rPr>
            </w:pPr>
          </w:p>
        </w:tc>
        <w:tc>
          <w:tcPr>
            <w:tcW w:w="8216" w:type="dxa"/>
            <w:shd w:val="clear" w:color="auto" w:fill="auto"/>
          </w:tcPr>
          <w:p w14:paraId="6F5C9911" w14:textId="360A5541" w:rsidR="00FB4811" w:rsidRPr="00B31CBF" w:rsidRDefault="00B31CBF">
            <w:pPr>
              <w:ind w:left="28" w:hanging="28"/>
              <w:jc w:val="both"/>
              <w:rPr>
                <w:rFonts w:eastAsia="Tahoma" w:cs="Arial"/>
                <w:i/>
                <w:color w:val="000000"/>
                <w:spacing w:val="6"/>
              </w:rPr>
            </w:pPr>
            <w:r w:rsidRPr="00B31CBF">
              <w:rPr>
                <w:rFonts w:eastAsia="Tahoma" w:cs="Arial"/>
                <w:i/>
                <w:color w:val="000000"/>
                <w:spacing w:val="6"/>
              </w:rPr>
              <w:t>Wie wurden die Indikatoren für nachteilige Auswirkungen auf Nachhaltigkeitsfaktoren berücksichtigt?</w:t>
            </w:r>
            <w:r w:rsidR="00C34383">
              <w:rPr>
                <w:rFonts w:eastAsia="Tahoma" w:cs="Arial"/>
                <w:i/>
                <w:color w:val="000000"/>
                <w:spacing w:val="6"/>
              </w:rPr>
              <w:br/>
            </w:r>
          </w:p>
          <w:p w14:paraId="2382D5AD" w14:textId="13D65C85" w:rsidR="00FC602A" w:rsidRPr="002A400B" w:rsidRDefault="00FC602A" w:rsidP="00FC602A">
            <w:pPr>
              <w:ind w:left="28" w:hanging="28"/>
              <w:rPr>
                <w:rFonts w:cs="Arial"/>
                <w:noProof/>
                <w:sz w:val="18"/>
                <w:szCs w:val="18"/>
              </w:rPr>
            </w:pPr>
            <w:r w:rsidRPr="002A400B">
              <w:rPr>
                <w:rFonts w:cs="Arial"/>
                <w:noProof/>
                <w:sz w:val="18"/>
                <w:szCs w:val="18"/>
              </w:rPr>
              <w:t xml:space="preserve">Über die weitergehenden Ausschlüsse </w:t>
            </w:r>
            <w:r w:rsidR="00AD5681">
              <w:rPr>
                <w:rFonts w:cs="Arial"/>
                <w:noProof/>
                <w:sz w:val="18"/>
                <w:szCs w:val="18"/>
              </w:rPr>
              <w:t>des</w:t>
            </w:r>
            <w:r>
              <w:rPr>
                <w:rFonts w:cs="Arial"/>
                <w:noProof/>
                <w:sz w:val="18"/>
                <w:szCs w:val="18"/>
              </w:rPr>
              <w:t xml:space="preserve"> ESG-Datenlieferanten </w:t>
            </w:r>
            <w:r w:rsidR="00AD5681">
              <w:rPr>
                <w:rFonts w:cs="Arial"/>
                <w:noProof/>
                <w:sz w:val="18"/>
                <w:szCs w:val="18"/>
              </w:rPr>
              <w:t xml:space="preserve">werden </w:t>
            </w:r>
            <w:r w:rsidRPr="002A400B">
              <w:rPr>
                <w:rFonts w:cs="Arial"/>
                <w:noProof/>
                <w:sz w:val="18"/>
                <w:szCs w:val="18"/>
              </w:rPr>
              <w:t>auch nachteilige Auswirkungen auf Nachhaltigkeitsfaktoren berücksichtigt:</w:t>
            </w:r>
          </w:p>
          <w:p w14:paraId="6D4C0BE3" w14:textId="77777777" w:rsidR="00FC602A" w:rsidRPr="002A400B" w:rsidRDefault="00FC602A" w:rsidP="00FC602A">
            <w:pPr>
              <w:pStyle w:val="Listenabsatz"/>
              <w:numPr>
                <w:ilvl w:val="0"/>
                <w:numId w:val="22"/>
              </w:numPr>
              <w:spacing w:after="23"/>
              <w:ind w:right="360"/>
              <w:textAlignment w:val="baseline"/>
              <w:rPr>
                <w:rFonts w:cs="Arial"/>
                <w:noProof/>
                <w:sz w:val="18"/>
                <w:szCs w:val="18"/>
              </w:rPr>
            </w:pPr>
            <w:r w:rsidRPr="002A400B">
              <w:rPr>
                <w:rFonts w:cs="Arial"/>
                <w:noProof/>
                <w:sz w:val="18"/>
                <w:szCs w:val="18"/>
              </w:rPr>
              <w:t>Keine Investitionen in Unternehmen, die in Verbindung mit der Produktion kontroverser Waffen stehen [PAI 14]</w:t>
            </w:r>
          </w:p>
          <w:p w14:paraId="1970EC98" w14:textId="77777777" w:rsidR="00FC602A" w:rsidRPr="002A400B" w:rsidRDefault="00FC602A" w:rsidP="00FC602A">
            <w:pPr>
              <w:pStyle w:val="Listenabsatz"/>
              <w:numPr>
                <w:ilvl w:val="0"/>
                <w:numId w:val="22"/>
              </w:numPr>
              <w:spacing w:after="23"/>
              <w:ind w:right="360"/>
              <w:textAlignment w:val="baseline"/>
              <w:rPr>
                <w:rFonts w:cs="Arial"/>
                <w:noProof/>
                <w:sz w:val="18"/>
                <w:szCs w:val="18"/>
              </w:rPr>
            </w:pPr>
            <w:r w:rsidRPr="002A400B">
              <w:rPr>
                <w:rFonts w:cs="Arial"/>
                <w:noProof/>
                <w:sz w:val="18"/>
                <w:szCs w:val="18"/>
              </w:rPr>
              <w:t>Keine Investitionen in Unternehmen, die mehr als 1 % der Umsätze aus der Förderung thermischer Kohle generieren [PAI 4]</w:t>
            </w:r>
          </w:p>
          <w:p w14:paraId="1C3130B4" w14:textId="77777777" w:rsidR="00FC602A" w:rsidRPr="002A400B" w:rsidRDefault="00FC602A" w:rsidP="00FC602A">
            <w:pPr>
              <w:pStyle w:val="Listenabsatz"/>
              <w:numPr>
                <w:ilvl w:val="0"/>
                <w:numId w:val="22"/>
              </w:numPr>
              <w:spacing w:after="23"/>
              <w:ind w:right="360"/>
              <w:textAlignment w:val="baseline"/>
              <w:rPr>
                <w:rFonts w:cs="Arial"/>
                <w:noProof/>
                <w:sz w:val="18"/>
                <w:szCs w:val="18"/>
              </w:rPr>
            </w:pPr>
            <w:r w:rsidRPr="002A400B">
              <w:rPr>
                <w:rFonts w:cs="Arial"/>
                <w:noProof/>
                <w:sz w:val="18"/>
                <w:szCs w:val="18"/>
              </w:rPr>
              <w:t>Keine Investition in Unternehmen, die in schwerwiegende Kontroversen verwickelt sind [PAI 10]</w:t>
            </w:r>
          </w:p>
          <w:p w14:paraId="37286573" w14:textId="77777777" w:rsidR="00C34383" w:rsidRDefault="00C34383" w:rsidP="00C34383">
            <w:pPr>
              <w:pStyle w:val="Listenabsatz"/>
              <w:spacing w:after="23"/>
              <w:ind w:left="508" w:right="360"/>
              <w:textAlignment w:val="baseline"/>
              <w:rPr>
                <w:rFonts w:cs="Arial"/>
                <w:noProof/>
                <w:sz w:val="18"/>
                <w:szCs w:val="18"/>
              </w:rPr>
            </w:pPr>
          </w:p>
          <w:p w14:paraId="4E6912D7" w14:textId="7FF00CCF" w:rsidR="00FB4811" w:rsidRPr="00C34383" w:rsidRDefault="00B31CBF" w:rsidP="00C34383">
            <w:pPr>
              <w:pStyle w:val="Listenabsatz"/>
              <w:spacing w:after="23"/>
              <w:ind w:left="0" w:right="360"/>
              <w:textAlignment w:val="baseline"/>
              <w:rPr>
                <w:rFonts w:cs="Arial"/>
                <w:noProof/>
                <w:sz w:val="18"/>
                <w:szCs w:val="18"/>
              </w:rPr>
            </w:pPr>
            <w:r w:rsidRPr="00C34383">
              <w:rPr>
                <w:rFonts w:eastAsia="Tahoma" w:cs="Arial"/>
                <w:i/>
                <w:color w:val="000000"/>
                <w:spacing w:val="6"/>
              </w:rPr>
              <w:t>Stehen die nachhaltigen Investitionen mit den OECD-Leitsätzen für multinationale Unternehmen und den Leitprinzipien der Vereinten Nationen für Wirtschaft und Menschenrechte in Einklang? Nähere Angaben:</w:t>
            </w:r>
            <w:r w:rsidRPr="00C34383">
              <w:rPr>
                <w:rFonts w:eastAsia="Tahoma" w:cs="Arial"/>
                <w:i/>
                <w:color w:val="000000"/>
                <w:spacing w:val="6"/>
                <w:highlight w:val="yellow"/>
              </w:rPr>
              <w:br/>
            </w:r>
          </w:p>
          <w:p w14:paraId="3004B113" w14:textId="16D98B58" w:rsidR="00FB4811" w:rsidRPr="00B31CBF" w:rsidRDefault="00C34383" w:rsidP="00C34383">
            <w:pPr>
              <w:ind w:left="26"/>
              <w:jc w:val="both"/>
              <w:rPr>
                <w:rFonts w:eastAsia="Tahoma" w:cs="Arial"/>
                <w:i/>
                <w:color w:val="000000"/>
                <w:spacing w:val="6"/>
                <w:highlight w:val="yellow"/>
              </w:rPr>
            </w:pPr>
            <w:r w:rsidRPr="002A400B">
              <w:rPr>
                <w:rFonts w:cs="Arial"/>
                <w:noProof/>
                <w:sz w:val="18"/>
                <w:szCs w:val="18"/>
              </w:rPr>
              <w:t>Mit Hilfe des externen Datenanbieters werden Unternehmen identifiziert und ausgeschlossen, die in schwerwiegende Kontroversen verwickelt sind</w:t>
            </w:r>
            <w:r>
              <w:rPr>
                <w:rFonts w:cs="Arial"/>
                <w:noProof/>
                <w:sz w:val="18"/>
                <w:szCs w:val="18"/>
              </w:rPr>
              <w:t xml:space="preserve"> (siehe Abschnitt ‚</w:t>
            </w:r>
            <w:r w:rsidRPr="008D4AE7">
              <w:rPr>
                <w:rFonts w:cs="Arial"/>
                <w:noProof/>
                <w:sz w:val="18"/>
                <w:szCs w:val="18"/>
              </w:rPr>
              <w:t>Inwiefern haben die nachhaltigen Investitionen, die mit dem Finanzprodukt teilweise getätigt wurden, ökologisch oder sozial nachhaltigen Anlagezielen nicht erheblich geschadet?‘)</w:t>
            </w:r>
            <w:r>
              <w:rPr>
                <w:rFonts w:cs="Arial"/>
                <w:noProof/>
                <w:sz w:val="18"/>
                <w:szCs w:val="18"/>
              </w:rPr>
              <w:t>,</w:t>
            </w:r>
            <w:r w:rsidRPr="002A400B">
              <w:rPr>
                <w:rFonts w:cs="Arial"/>
                <w:noProof/>
                <w:sz w:val="18"/>
                <w:szCs w:val="18"/>
              </w:rPr>
              <w:t xml:space="preserve"> die </w:t>
            </w:r>
            <w:r>
              <w:rPr>
                <w:rFonts w:cs="Arial"/>
                <w:noProof/>
                <w:sz w:val="18"/>
                <w:szCs w:val="18"/>
              </w:rPr>
              <w:t xml:space="preserve">wiederum </w:t>
            </w:r>
            <w:r w:rsidRPr="002A400B">
              <w:rPr>
                <w:rFonts w:cs="Arial"/>
                <w:noProof/>
                <w:sz w:val="18"/>
                <w:szCs w:val="18"/>
              </w:rPr>
              <w:t>auf einen möglichen Verstoß gegen die OECD-Leitsätze für multinationale Unternehmen und/oder die UNGC-Prinzipien hinweisen können.</w:t>
            </w:r>
          </w:p>
        </w:tc>
      </w:tr>
      <w:tr w:rsidR="00FB4811" w14:paraId="23433B7A" w14:textId="77777777" w:rsidTr="00EA5280">
        <w:tc>
          <w:tcPr>
            <w:tcW w:w="2274" w:type="dxa"/>
            <w:gridSpan w:val="2"/>
            <w:shd w:val="clear" w:color="auto" w:fill="auto"/>
          </w:tcPr>
          <w:p w14:paraId="7DB34D0C" w14:textId="77777777" w:rsidR="00FB4811" w:rsidRDefault="00FB4811">
            <w:pPr>
              <w:spacing w:before="240"/>
              <w:jc w:val="right"/>
              <w:rPr>
                <w:rFonts w:eastAsia="Calibri" w:cs="Arial"/>
                <w:b/>
                <w:color w:val="000000"/>
                <w:sz w:val="18"/>
                <w:szCs w:val="18"/>
              </w:rPr>
            </w:pPr>
          </w:p>
        </w:tc>
        <w:tc>
          <w:tcPr>
            <w:tcW w:w="8216" w:type="dxa"/>
            <w:shd w:val="clear" w:color="auto" w:fill="auto"/>
          </w:tcPr>
          <w:p w14:paraId="629FB081" w14:textId="77777777" w:rsidR="00FB4811" w:rsidRDefault="00FB4811">
            <w:pPr>
              <w:spacing w:before="240"/>
              <w:rPr>
                <w:rFonts w:cs="Arial"/>
                <w:b/>
                <w:bCs/>
                <w:sz w:val="18"/>
                <w:szCs w:val="18"/>
              </w:rPr>
            </w:pPr>
          </w:p>
        </w:tc>
      </w:tr>
      <w:tr w:rsidR="00FB4811" w14:paraId="1DA559A6" w14:textId="77777777" w:rsidTr="00EA5280">
        <w:trPr>
          <w:trHeight w:val="1916"/>
        </w:trPr>
        <w:tc>
          <w:tcPr>
            <w:tcW w:w="1702" w:type="dxa"/>
            <w:shd w:val="clear" w:color="auto" w:fill="auto"/>
          </w:tcPr>
          <w:p w14:paraId="654D7F66" w14:textId="77777777" w:rsidR="00FB4811" w:rsidRDefault="00FB4811">
            <w:pPr>
              <w:rPr>
                <w:rFonts w:eastAsia="Calibri" w:cs="Arial"/>
                <w:color w:val="000000"/>
                <w:sz w:val="18"/>
                <w:szCs w:val="18"/>
              </w:rPr>
            </w:pPr>
          </w:p>
        </w:tc>
        <w:tc>
          <w:tcPr>
            <w:tcW w:w="572" w:type="dxa"/>
          </w:tcPr>
          <w:p w14:paraId="691D6237" w14:textId="77777777" w:rsidR="00FB4811" w:rsidRDefault="00FB4811">
            <w:pPr>
              <w:tabs>
                <w:tab w:val="left" w:pos="3240"/>
                <w:tab w:val="left" w:pos="4680"/>
                <w:tab w:val="left" w:pos="6624"/>
              </w:tabs>
              <w:spacing w:before="240" w:after="42" w:line="203" w:lineRule="exact"/>
              <w:textAlignment w:val="baseline"/>
              <w:rPr>
                <w:rFonts w:eastAsia="Calibri" w:cs="Arial"/>
                <w:b/>
                <w:color w:val="000000"/>
                <w:sz w:val="18"/>
                <w:szCs w:val="18"/>
              </w:rPr>
            </w:pPr>
          </w:p>
        </w:tc>
        <w:tc>
          <w:tcPr>
            <w:tcW w:w="8216" w:type="dxa"/>
            <w:shd w:val="clear" w:color="auto" w:fill="auto"/>
          </w:tcPr>
          <w:tbl>
            <w:tblPr>
              <w:tblStyle w:val="Tabellenraster"/>
              <w:tblW w:w="8274" w:type="dxa"/>
              <w:shd w:val="clear" w:color="auto" w:fill="FBE4D5" w:themeFill="accent2" w:themeFillTint="33"/>
              <w:tblLayout w:type="fixed"/>
              <w:tblLook w:val="04A0" w:firstRow="1" w:lastRow="0" w:firstColumn="1" w:lastColumn="0" w:noHBand="0" w:noVBand="1"/>
            </w:tblPr>
            <w:tblGrid>
              <w:gridCol w:w="8274"/>
            </w:tblGrid>
            <w:tr w:rsidR="00FB4811" w14:paraId="28F78349" w14:textId="77777777">
              <w:tc>
                <w:tcPr>
                  <w:tcW w:w="8274" w:type="dxa"/>
                  <w:shd w:val="clear" w:color="auto" w:fill="FBE4D5" w:themeFill="accent2" w:themeFillTint="33"/>
                </w:tcPr>
                <w:p w14:paraId="274DC2FB" w14:textId="77777777" w:rsidR="00FB4811" w:rsidRDefault="00B31CBF">
                  <w:pPr>
                    <w:tabs>
                      <w:tab w:val="left" w:pos="3240"/>
                      <w:tab w:val="left" w:pos="4680"/>
                      <w:tab w:val="left" w:pos="6624"/>
                    </w:tabs>
                    <w:spacing w:after="42" w:line="203" w:lineRule="exact"/>
                    <w:textAlignment w:val="baseline"/>
                    <w:rPr>
                      <w:rFonts w:eastAsia="Calibri" w:cs="Arial"/>
                      <w:i/>
                      <w:color w:val="000000"/>
                      <w:sz w:val="18"/>
                      <w:szCs w:val="18"/>
                    </w:rPr>
                  </w:pPr>
                  <w:r>
                    <w:rPr>
                      <w:rFonts w:eastAsia="Calibri" w:cs="Arial"/>
                      <w:i/>
                      <w:color w:val="000000"/>
                      <w:sz w:val="18"/>
                      <w:szCs w:val="18"/>
                    </w:rPr>
                    <w:t>In der EU-Taxonomie ist der Grundsatz „Vermeidung erheblicher Beeinträchtigungen" festgelegt, nach dem taxonomiekonforme Investitionen die Ziele der EU-Taxonomie nicht erheblich beeinträchtigen dürfen, und es sind spezifische Unionskriterien beigefügt.</w:t>
                  </w:r>
                </w:p>
                <w:p w14:paraId="6D3DD958" w14:textId="77777777" w:rsidR="00FB4811" w:rsidRDefault="00B31CBF">
                  <w:pPr>
                    <w:tabs>
                      <w:tab w:val="left" w:pos="3240"/>
                      <w:tab w:val="left" w:pos="4680"/>
                      <w:tab w:val="left" w:pos="6624"/>
                    </w:tabs>
                    <w:spacing w:before="240" w:after="42" w:line="203" w:lineRule="exact"/>
                    <w:textAlignment w:val="baseline"/>
                    <w:rPr>
                      <w:rFonts w:eastAsia="Calibri" w:cs="Arial"/>
                      <w:color w:val="000000"/>
                      <w:sz w:val="18"/>
                      <w:szCs w:val="18"/>
                    </w:rPr>
                  </w:pPr>
                  <w:r>
                    <w:rPr>
                      <w:rFonts w:eastAsia="Calibri" w:cs="Arial"/>
                      <w:color w:val="000000"/>
                      <w:sz w:val="18"/>
                      <w:szCs w:val="18"/>
                    </w:rPr>
                    <w:t>Der Grundsatz „Vermeidung erheblicher Beeinträchtigungen" findet nur bei denjenigen dem Finanzprodukt zugrunde liegenden Investitionen Anwendung, die die EU-Kriterien für ökologisch nachhaltige Wirtschaftsaktivitäten berücksichtigen. Die dem verbleibenden Teil dieses Finanzprodukts zugrunde liegenden Investitionen berücksichtigen nicht die EU-Kriterien für ökologisch nachhaltige Wirtschaftsaktivitäten.</w:t>
                  </w:r>
                </w:p>
                <w:p w14:paraId="78C7EDB7" w14:textId="77777777" w:rsidR="00FB4811" w:rsidRDefault="00B31CBF">
                  <w:pPr>
                    <w:tabs>
                      <w:tab w:val="left" w:pos="3240"/>
                      <w:tab w:val="left" w:pos="4680"/>
                      <w:tab w:val="left" w:pos="6624"/>
                    </w:tabs>
                    <w:spacing w:before="240" w:after="42" w:line="203" w:lineRule="exact"/>
                    <w:textAlignment w:val="baseline"/>
                    <w:rPr>
                      <w:rFonts w:eastAsia="Calibri" w:cs="Arial"/>
                      <w:color w:val="000000"/>
                      <w:sz w:val="18"/>
                      <w:szCs w:val="18"/>
                    </w:rPr>
                  </w:pPr>
                  <w:r>
                    <w:rPr>
                      <w:rFonts w:eastAsia="Calibri" w:cs="Arial"/>
                      <w:i/>
                      <w:color w:val="000000"/>
                      <w:sz w:val="18"/>
                      <w:szCs w:val="18"/>
                    </w:rPr>
                    <w:t>Alle anderen nachhaltigen Investitionen dürfen ökologische oder soziale Ziele ebenfalls nicht erheblich beeinträchtigen.</w:t>
                  </w:r>
                </w:p>
              </w:tc>
            </w:tr>
          </w:tbl>
          <w:p w14:paraId="3A746076" w14:textId="77777777" w:rsidR="00FB4811" w:rsidRDefault="00FB4811">
            <w:pPr>
              <w:tabs>
                <w:tab w:val="left" w:pos="3240"/>
                <w:tab w:val="left" w:pos="4680"/>
                <w:tab w:val="left" w:pos="6624"/>
              </w:tabs>
              <w:spacing w:before="240" w:after="42" w:line="203" w:lineRule="exact"/>
              <w:textAlignment w:val="baseline"/>
              <w:rPr>
                <w:rFonts w:eastAsia="Calibri" w:cs="Arial"/>
                <w:b/>
                <w:color w:val="000000"/>
                <w:sz w:val="18"/>
                <w:szCs w:val="18"/>
              </w:rPr>
            </w:pPr>
          </w:p>
        </w:tc>
      </w:tr>
      <w:tr w:rsidR="00FB4811" w14:paraId="7B96EADA" w14:textId="77777777" w:rsidTr="00EA5280">
        <w:trPr>
          <w:trHeight w:val="1585"/>
        </w:trPr>
        <w:tc>
          <w:tcPr>
            <w:tcW w:w="1702" w:type="dxa"/>
            <w:shd w:val="clear" w:color="auto" w:fill="auto"/>
          </w:tcPr>
          <w:p w14:paraId="6B6CF36B" w14:textId="77777777" w:rsidR="00FB4811" w:rsidRDefault="00B31CBF">
            <w:pPr>
              <w:rPr>
                <w:rFonts w:eastAsia="Calibri" w:cs="Arial"/>
                <w:color w:val="000000"/>
                <w:sz w:val="18"/>
                <w:szCs w:val="18"/>
              </w:rPr>
            </w:pPr>
            <w:r>
              <w:rPr>
                <w:rFonts w:cs="Arial"/>
                <w:noProof/>
                <w:sz w:val="18"/>
                <w:szCs w:val="18"/>
              </w:rPr>
              <w:drawing>
                <wp:anchor distT="0" distB="0" distL="114300" distR="114300" simplePos="0" relativeHeight="251684864" behindDoc="1" locked="0" layoutInCell="1" allowOverlap="1" wp14:anchorId="74726CA7" wp14:editId="64BF409F">
                  <wp:simplePos x="0" y="0"/>
                  <wp:positionH relativeFrom="column">
                    <wp:posOffset>16221</wp:posOffset>
                  </wp:positionH>
                  <wp:positionV relativeFrom="paragraph">
                    <wp:posOffset>125845</wp:posOffset>
                  </wp:positionV>
                  <wp:extent cx="1307038" cy="493910"/>
                  <wp:effectExtent l="0" t="0" r="7620" b="190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7038" cy="493910"/>
                          </a:xfrm>
                          <a:prstGeom prst="rect">
                            <a:avLst/>
                          </a:prstGeom>
                        </pic:spPr>
                      </pic:pic>
                    </a:graphicData>
                  </a:graphic>
                  <wp14:sizeRelH relativeFrom="margin">
                    <wp14:pctWidth>0</wp14:pctWidth>
                  </wp14:sizeRelH>
                  <wp14:sizeRelV relativeFrom="margin">
                    <wp14:pctHeight>0</wp14:pctHeight>
                  </wp14:sizeRelV>
                </wp:anchor>
              </w:drawing>
            </w:r>
          </w:p>
        </w:tc>
        <w:tc>
          <w:tcPr>
            <w:tcW w:w="572" w:type="dxa"/>
          </w:tcPr>
          <w:p w14:paraId="4DC33FF7" w14:textId="77777777" w:rsidR="00FB4811" w:rsidRDefault="00FB4811">
            <w:pPr>
              <w:tabs>
                <w:tab w:val="left" w:pos="3240"/>
                <w:tab w:val="left" w:pos="4680"/>
                <w:tab w:val="left" w:pos="6624"/>
              </w:tabs>
              <w:spacing w:before="240" w:after="42" w:line="203" w:lineRule="exact"/>
              <w:textAlignment w:val="baseline"/>
              <w:rPr>
                <w:rFonts w:eastAsia="Calibri" w:cs="Arial"/>
                <w:b/>
                <w:color w:val="000000"/>
                <w:sz w:val="18"/>
                <w:szCs w:val="18"/>
              </w:rPr>
            </w:pPr>
          </w:p>
        </w:tc>
        <w:tc>
          <w:tcPr>
            <w:tcW w:w="8216" w:type="dxa"/>
            <w:shd w:val="clear" w:color="auto" w:fill="auto"/>
          </w:tcPr>
          <w:p w14:paraId="5679B661" w14:textId="77777777" w:rsidR="00FB4811" w:rsidRPr="00B31CBF" w:rsidRDefault="00B31CBF" w:rsidP="00AF1B16">
            <w:pPr>
              <w:tabs>
                <w:tab w:val="left" w:pos="3240"/>
                <w:tab w:val="left" w:pos="4680"/>
                <w:tab w:val="left" w:pos="6624"/>
              </w:tabs>
              <w:spacing w:before="240" w:after="42" w:line="203" w:lineRule="exact"/>
              <w:jc w:val="both"/>
              <w:textAlignment w:val="baseline"/>
              <w:rPr>
                <w:rFonts w:eastAsia="Arial" w:cs="Arial"/>
                <w:i/>
                <w:color w:val="C00000"/>
                <w:sz w:val="18"/>
                <w:szCs w:val="18"/>
              </w:rPr>
            </w:pPr>
            <w:r w:rsidRPr="00B31CBF">
              <w:rPr>
                <w:rFonts w:eastAsia="Calibri" w:cs="Arial"/>
                <w:b/>
                <w:color w:val="000000"/>
                <w:sz w:val="18"/>
                <w:szCs w:val="18"/>
              </w:rPr>
              <w:t>Wie wurden bei diesem Finanzprodukt die wichtigsten nachteiligen Auswirkungen auf Nachhaltigkeitsfaktoren berücksichtigt?</w:t>
            </w:r>
            <w:r w:rsidRPr="00B31CBF">
              <w:rPr>
                <w:rFonts w:eastAsia="Calibri" w:cs="Arial"/>
                <w:b/>
                <w:i/>
                <w:color w:val="000000"/>
                <w:sz w:val="18"/>
                <w:szCs w:val="18"/>
              </w:rPr>
              <w:t xml:space="preserve"> </w:t>
            </w:r>
          </w:p>
          <w:p w14:paraId="08E9CB33" w14:textId="5FC1B27B" w:rsidR="00C34383" w:rsidRDefault="00C34383" w:rsidP="00AF1B16">
            <w:pPr>
              <w:tabs>
                <w:tab w:val="left" w:pos="3240"/>
                <w:tab w:val="left" w:pos="4680"/>
                <w:tab w:val="left" w:pos="6624"/>
              </w:tabs>
              <w:spacing w:before="240" w:after="42" w:line="203" w:lineRule="exact"/>
              <w:jc w:val="both"/>
              <w:textAlignment w:val="baseline"/>
              <w:rPr>
                <w:rFonts w:eastAsia="Arial" w:cs="Arial"/>
                <w:sz w:val="18"/>
                <w:szCs w:val="18"/>
              </w:rPr>
            </w:pPr>
            <w:r>
              <w:rPr>
                <w:rFonts w:eastAsia="Arial" w:cs="Arial"/>
                <w:sz w:val="18"/>
                <w:szCs w:val="18"/>
              </w:rPr>
              <w:t>Im Zuge der Anlagestrategie, die wiederum Ausgang im Mindeststandard des Konzerns Versicherungskammer findet, und den oben beschriebenen Nachhaltigkeitsmerkmalen, wurden über Ausschlusskriterien und Grenzwerte die wichtigsten nachteiligen Nachhaltigkeitsauswirkungen für Investitionen in Unternehmen aus Anhang I der delegierten Verordnung (EU) 2022/1288 berück</w:t>
            </w:r>
            <w:r w:rsidR="00713633">
              <w:rPr>
                <w:rFonts w:eastAsia="Arial" w:cs="Arial"/>
                <w:sz w:val="18"/>
                <w:szCs w:val="18"/>
              </w:rPr>
              <w:softHyphen/>
            </w:r>
            <w:r>
              <w:rPr>
                <w:rFonts w:eastAsia="Arial" w:cs="Arial"/>
                <w:sz w:val="18"/>
                <w:szCs w:val="18"/>
              </w:rPr>
              <w:t>sichtigt:</w:t>
            </w:r>
          </w:p>
          <w:p w14:paraId="0C250B9E" w14:textId="77777777" w:rsidR="00C34383" w:rsidRDefault="00C34383" w:rsidP="00AF1B16">
            <w:pPr>
              <w:pStyle w:val="Listenabsatz"/>
              <w:numPr>
                <w:ilvl w:val="0"/>
                <w:numId w:val="22"/>
              </w:numPr>
              <w:spacing w:after="23"/>
              <w:ind w:right="360"/>
              <w:jc w:val="both"/>
              <w:textAlignment w:val="baseline"/>
              <w:rPr>
                <w:rFonts w:cs="Arial"/>
                <w:noProof/>
                <w:sz w:val="18"/>
                <w:szCs w:val="18"/>
              </w:rPr>
            </w:pPr>
            <w:r>
              <w:rPr>
                <w:rFonts w:cs="Arial"/>
                <w:noProof/>
                <w:sz w:val="18"/>
                <w:szCs w:val="18"/>
              </w:rPr>
              <w:t>Engagement in Unternehmen, die im Bereich der fossilen Brennstoffe tätig sind [PAI 4]</w:t>
            </w:r>
          </w:p>
          <w:p w14:paraId="043B66B2" w14:textId="77777777" w:rsidR="00C34383" w:rsidRDefault="00C34383" w:rsidP="00AF1B16">
            <w:pPr>
              <w:pStyle w:val="Listenabsatz"/>
              <w:numPr>
                <w:ilvl w:val="0"/>
                <w:numId w:val="22"/>
              </w:numPr>
              <w:spacing w:after="23"/>
              <w:ind w:right="360"/>
              <w:jc w:val="both"/>
              <w:textAlignment w:val="baseline"/>
              <w:rPr>
                <w:rFonts w:cs="Arial"/>
                <w:noProof/>
                <w:sz w:val="18"/>
                <w:szCs w:val="18"/>
              </w:rPr>
            </w:pPr>
            <w:r>
              <w:rPr>
                <w:rFonts w:cs="Arial"/>
                <w:noProof/>
                <w:sz w:val="18"/>
                <w:szCs w:val="18"/>
              </w:rPr>
              <w:t>Verstöße gegen die UNGC-Grundsätze und gegen die Leitsätze der Organisation für wirtschaftliche Zusammenarbeit und Entwicklung (OECD) für multinationale Unternehmen [PAI 10]</w:t>
            </w:r>
          </w:p>
          <w:p w14:paraId="75DF7A46" w14:textId="77777777" w:rsidR="00C34383" w:rsidRDefault="00C34383" w:rsidP="00AF1B16">
            <w:pPr>
              <w:pStyle w:val="Listenabsatz"/>
              <w:numPr>
                <w:ilvl w:val="0"/>
                <w:numId w:val="22"/>
              </w:numPr>
              <w:spacing w:after="23"/>
              <w:ind w:right="360"/>
              <w:jc w:val="both"/>
              <w:textAlignment w:val="baseline"/>
              <w:rPr>
                <w:rFonts w:cs="Arial"/>
                <w:noProof/>
                <w:sz w:val="18"/>
                <w:szCs w:val="18"/>
              </w:rPr>
            </w:pPr>
            <w:r>
              <w:rPr>
                <w:rFonts w:cs="Arial"/>
                <w:noProof/>
                <w:sz w:val="18"/>
                <w:szCs w:val="18"/>
              </w:rPr>
              <w:t>Engagement in umstrittenen Waffen (Antipersonenminen, Streumunition, chemische und biologische Waffen) [PAI 14]</w:t>
            </w:r>
          </w:p>
          <w:p w14:paraId="1962D7CD" w14:textId="3CEC4C69" w:rsidR="00C34383" w:rsidRPr="00705034" w:rsidRDefault="00C34383" w:rsidP="00AF1B16">
            <w:pPr>
              <w:spacing w:before="240" w:after="42"/>
              <w:jc w:val="both"/>
              <w:rPr>
                <w:rFonts w:cs="Arial"/>
                <w:noProof/>
                <w:sz w:val="18"/>
                <w:szCs w:val="18"/>
              </w:rPr>
            </w:pPr>
            <w:r w:rsidRPr="00705034">
              <w:rPr>
                <w:rFonts w:cs="Arial"/>
                <w:noProof/>
                <w:sz w:val="18"/>
                <w:szCs w:val="18"/>
              </w:rPr>
              <w:t xml:space="preserve">Zudem wurden die in der Anlageoption enthaltenen </w:t>
            </w:r>
            <w:r>
              <w:rPr>
                <w:rFonts w:cs="Arial"/>
                <w:noProof/>
                <w:sz w:val="18"/>
                <w:szCs w:val="18"/>
              </w:rPr>
              <w:t>Investitionen</w:t>
            </w:r>
            <w:r w:rsidRPr="00705034">
              <w:rPr>
                <w:rFonts w:cs="Arial"/>
                <w:noProof/>
                <w:sz w:val="18"/>
                <w:szCs w:val="18"/>
              </w:rPr>
              <w:t xml:space="preserve"> regelmäßig auf Unternehmen </w:t>
            </w:r>
            <w:r>
              <w:rPr>
                <w:rFonts w:cs="Arial"/>
                <w:noProof/>
                <w:sz w:val="18"/>
                <w:szCs w:val="18"/>
              </w:rPr>
              <w:t>mit sehr</w:t>
            </w:r>
            <w:r w:rsidRPr="00705034">
              <w:rPr>
                <w:rFonts w:cs="Arial"/>
                <w:noProof/>
                <w:sz w:val="18"/>
                <w:szCs w:val="18"/>
              </w:rPr>
              <w:t xml:space="preserve"> schwerwiegende</w:t>
            </w:r>
            <w:r>
              <w:rPr>
                <w:rFonts w:cs="Arial"/>
                <w:noProof/>
                <w:sz w:val="18"/>
                <w:szCs w:val="18"/>
              </w:rPr>
              <w:t>n</w:t>
            </w:r>
            <w:r w:rsidRPr="00705034">
              <w:rPr>
                <w:rFonts w:cs="Arial"/>
                <w:noProof/>
                <w:sz w:val="18"/>
                <w:szCs w:val="18"/>
              </w:rPr>
              <w:t xml:space="preserve"> umweltbezogene</w:t>
            </w:r>
            <w:r>
              <w:rPr>
                <w:rFonts w:cs="Arial"/>
                <w:noProof/>
                <w:sz w:val="18"/>
                <w:szCs w:val="18"/>
              </w:rPr>
              <w:t>n</w:t>
            </w:r>
            <w:r w:rsidRPr="00705034">
              <w:rPr>
                <w:rFonts w:cs="Arial"/>
                <w:noProof/>
                <w:sz w:val="18"/>
                <w:szCs w:val="18"/>
              </w:rPr>
              <w:t xml:space="preserve"> Kontroversen</w:t>
            </w:r>
            <w:r>
              <w:rPr>
                <w:rFonts w:cs="Arial"/>
                <w:noProof/>
                <w:sz w:val="18"/>
                <w:szCs w:val="18"/>
              </w:rPr>
              <w:t xml:space="preserve"> </w:t>
            </w:r>
            <w:r w:rsidRPr="00705034">
              <w:rPr>
                <w:rFonts w:cs="Arial"/>
                <w:noProof/>
                <w:sz w:val="18"/>
                <w:szCs w:val="18"/>
              </w:rPr>
              <w:t xml:space="preserve">in Bezug auf Biodiversität &amp; Landnutzung, Wasserstress oder giftige Emissionen und Abfall </w:t>
            </w:r>
            <w:r>
              <w:rPr>
                <w:rFonts w:cs="Arial"/>
                <w:noProof/>
                <w:sz w:val="18"/>
                <w:szCs w:val="18"/>
              </w:rPr>
              <w:t>untersucht</w:t>
            </w:r>
            <w:r w:rsidRPr="00705034">
              <w:rPr>
                <w:rFonts w:cs="Arial"/>
                <w:noProof/>
                <w:sz w:val="18"/>
                <w:szCs w:val="18"/>
              </w:rPr>
              <w:t xml:space="preserve">. </w:t>
            </w:r>
            <w:r w:rsidRPr="00705034">
              <w:rPr>
                <w:rFonts w:eastAsia="Arial" w:cs="Arial"/>
                <w:sz w:val="18"/>
                <w:szCs w:val="18"/>
              </w:rPr>
              <w:t>Damit wurden weitere Themen erfasst, die in Anhang I der delegierten Verordnung (EU) 2022/1288 definiert sind:</w:t>
            </w:r>
          </w:p>
          <w:p w14:paraId="7FFD9D6C" w14:textId="77777777" w:rsidR="00C34383" w:rsidRPr="00705034" w:rsidRDefault="00C34383" w:rsidP="00AF1B16">
            <w:pPr>
              <w:pStyle w:val="Listenabsatz"/>
              <w:numPr>
                <w:ilvl w:val="0"/>
                <w:numId w:val="22"/>
              </w:numPr>
              <w:spacing w:after="23"/>
              <w:ind w:right="360"/>
              <w:jc w:val="both"/>
              <w:textAlignment w:val="baseline"/>
              <w:rPr>
                <w:rFonts w:cs="Arial"/>
                <w:noProof/>
                <w:sz w:val="18"/>
                <w:szCs w:val="18"/>
              </w:rPr>
            </w:pPr>
            <w:r w:rsidRPr="00705034">
              <w:rPr>
                <w:rFonts w:cs="Arial"/>
                <w:noProof/>
                <w:sz w:val="18"/>
                <w:szCs w:val="18"/>
              </w:rPr>
              <w:t>Tätigkeiten, die sich nachteilig auf Gebiete mit schutzbedürftiger Biodiversität auswirken</w:t>
            </w:r>
            <w:r>
              <w:rPr>
                <w:rFonts w:cs="Arial"/>
                <w:noProof/>
                <w:sz w:val="18"/>
                <w:szCs w:val="18"/>
              </w:rPr>
              <w:t xml:space="preserve"> [PAI 7]</w:t>
            </w:r>
          </w:p>
          <w:p w14:paraId="3F8D4327" w14:textId="77777777" w:rsidR="00C34383" w:rsidRPr="00705034" w:rsidRDefault="00C34383" w:rsidP="00AF1B16">
            <w:pPr>
              <w:pStyle w:val="Listenabsatz"/>
              <w:numPr>
                <w:ilvl w:val="0"/>
                <w:numId w:val="22"/>
              </w:numPr>
              <w:spacing w:after="23"/>
              <w:ind w:right="360"/>
              <w:jc w:val="both"/>
              <w:textAlignment w:val="baseline"/>
              <w:rPr>
                <w:rFonts w:cs="Arial"/>
                <w:noProof/>
                <w:sz w:val="18"/>
                <w:szCs w:val="18"/>
              </w:rPr>
            </w:pPr>
            <w:r w:rsidRPr="00705034">
              <w:rPr>
                <w:rFonts w:cs="Arial"/>
                <w:noProof/>
                <w:sz w:val="18"/>
                <w:szCs w:val="18"/>
              </w:rPr>
              <w:t>Emissionen in Wasser</w:t>
            </w:r>
            <w:r>
              <w:rPr>
                <w:rFonts w:cs="Arial"/>
                <w:noProof/>
                <w:sz w:val="18"/>
                <w:szCs w:val="18"/>
              </w:rPr>
              <w:t xml:space="preserve"> [PAI 8]</w:t>
            </w:r>
          </w:p>
          <w:p w14:paraId="29560004" w14:textId="77777777" w:rsidR="00C34383" w:rsidRPr="00705034" w:rsidRDefault="00C34383" w:rsidP="00AF1B16">
            <w:pPr>
              <w:pStyle w:val="Listenabsatz"/>
              <w:numPr>
                <w:ilvl w:val="0"/>
                <w:numId w:val="22"/>
              </w:numPr>
              <w:spacing w:after="23"/>
              <w:ind w:right="360"/>
              <w:jc w:val="both"/>
              <w:textAlignment w:val="baseline"/>
              <w:rPr>
                <w:rFonts w:cs="Arial"/>
                <w:noProof/>
                <w:sz w:val="18"/>
                <w:szCs w:val="18"/>
              </w:rPr>
            </w:pPr>
            <w:r w:rsidRPr="00705034">
              <w:rPr>
                <w:rFonts w:cs="Arial"/>
                <w:noProof/>
                <w:sz w:val="18"/>
                <w:szCs w:val="18"/>
              </w:rPr>
              <w:t>Anteil gefährlicher und radioaktiver Abfälle</w:t>
            </w:r>
            <w:r>
              <w:rPr>
                <w:rFonts w:cs="Arial"/>
                <w:noProof/>
                <w:sz w:val="18"/>
                <w:szCs w:val="18"/>
              </w:rPr>
              <w:t xml:space="preserve"> [PAI 9]</w:t>
            </w:r>
          </w:p>
          <w:p w14:paraId="5B488CB8" w14:textId="77777777" w:rsidR="00FC602A" w:rsidRPr="00705034" w:rsidRDefault="00FC602A" w:rsidP="00AF1B16">
            <w:pPr>
              <w:spacing w:before="240"/>
              <w:jc w:val="both"/>
              <w:rPr>
                <w:rFonts w:cs="Arial"/>
                <w:noProof/>
                <w:sz w:val="18"/>
                <w:szCs w:val="18"/>
              </w:rPr>
            </w:pPr>
            <w:r w:rsidRPr="00705034">
              <w:rPr>
                <w:rFonts w:cs="Arial"/>
                <w:noProof/>
                <w:sz w:val="18"/>
                <w:szCs w:val="18"/>
              </w:rPr>
              <w:t xml:space="preserve">Darüber hinaus </w:t>
            </w:r>
            <w:r>
              <w:rPr>
                <w:rFonts w:cs="Arial"/>
                <w:noProof/>
                <w:sz w:val="18"/>
                <w:szCs w:val="18"/>
              </w:rPr>
              <w:t>wurde</w:t>
            </w:r>
            <w:r w:rsidRPr="00705034">
              <w:rPr>
                <w:rFonts w:cs="Arial"/>
                <w:noProof/>
                <w:sz w:val="18"/>
                <w:szCs w:val="18"/>
              </w:rPr>
              <w:t xml:space="preserve"> bei der </w:t>
            </w:r>
            <w:r>
              <w:rPr>
                <w:rFonts w:cs="Arial"/>
                <w:noProof/>
                <w:sz w:val="18"/>
                <w:szCs w:val="18"/>
              </w:rPr>
              <w:t xml:space="preserve">Steuerung der Investitionen innerhalb der </w:t>
            </w:r>
            <w:r w:rsidRPr="00705034">
              <w:rPr>
                <w:rFonts w:cs="Arial"/>
                <w:noProof/>
                <w:sz w:val="18"/>
                <w:szCs w:val="18"/>
              </w:rPr>
              <w:t>Anlageoption der CO2-Fußabdruck (Scope 1</w:t>
            </w:r>
            <w:r>
              <w:rPr>
                <w:rFonts w:cs="Arial"/>
                <w:noProof/>
                <w:sz w:val="18"/>
                <w:szCs w:val="18"/>
              </w:rPr>
              <w:t xml:space="preserve"> &amp; </w:t>
            </w:r>
            <w:r w:rsidRPr="00705034">
              <w:rPr>
                <w:rFonts w:cs="Arial"/>
                <w:noProof/>
                <w:sz w:val="18"/>
                <w:szCs w:val="18"/>
              </w:rPr>
              <w:t xml:space="preserve">2) </w:t>
            </w:r>
            <w:r>
              <w:rPr>
                <w:rFonts w:cs="Arial"/>
                <w:noProof/>
                <w:sz w:val="18"/>
                <w:szCs w:val="18"/>
              </w:rPr>
              <w:t>im Vergleich zu einer</w:t>
            </w:r>
            <w:r w:rsidRPr="00AB1601">
              <w:rPr>
                <w:rFonts w:cs="Arial"/>
                <w:sz w:val="16"/>
                <w:szCs w:val="16"/>
              </w:rPr>
              <w:t xml:space="preserve"> </w:t>
            </w:r>
            <w:r>
              <w:rPr>
                <w:rFonts w:cs="Arial"/>
                <w:noProof/>
                <w:sz w:val="18"/>
                <w:szCs w:val="18"/>
              </w:rPr>
              <w:t>strategieähnlichen Benchmark</w:t>
            </w:r>
            <w:r w:rsidRPr="00705034">
              <w:rPr>
                <w:rFonts w:cs="Arial"/>
                <w:noProof/>
                <w:sz w:val="18"/>
                <w:szCs w:val="18"/>
              </w:rPr>
              <w:t xml:space="preserve"> berücksichtigt</w:t>
            </w:r>
            <w:r>
              <w:rPr>
                <w:rFonts w:cs="Arial"/>
                <w:noProof/>
                <w:sz w:val="18"/>
                <w:szCs w:val="18"/>
              </w:rPr>
              <w:t xml:space="preserve"> [PAI 2].</w:t>
            </w:r>
          </w:p>
          <w:p w14:paraId="59ADCCCE" w14:textId="660D6BFC" w:rsidR="00FB4811" w:rsidRPr="00C34383" w:rsidRDefault="00C34383" w:rsidP="00AF1B16">
            <w:pPr>
              <w:spacing w:before="240"/>
              <w:jc w:val="both"/>
              <w:rPr>
                <w:rFonts w:eastAsia="Arial" w:cs="Arial"/>
                <w:i/>
                <w:color w:val="C00000"/>
                <w:sz w:val="18"/>
                <w:szCs w:val="18"/>
                <w:highlight w:val="yellow"/>
              </w:rPr>
            </w:pPr>
            <w:r w:rsidRPr="00C34383">
              <w:rPr>
                <w:rFonts w:cs="Arial"/>
                <w:noProof/>
                <w:sz w:val="18"/>
                <w:szCs w:val="18"/>
              </w:rPr>
              <w:t>Weitere Informationen zu den nachteiligen Nachhaltigeitsauswirkungen sind im Abschnitt ‚Wie haben die Nachhaltigkeitsindikatoren abgeschnitten?‘ dargelegt.</w:t>
            </w:r>
          </w:p>
        </w:tc>
      </w:tr>
      <w:tr w:rsidR="00FB4811" w14:paraId="4399E1E0" w14:textId="77777777" w:rsidTr="00EA5280">
        <w:trPr>
          <w:trHeight w:val="549"/>
        </w:trPr>
        <w:tc>
          <w:tcPr>
            <w:tcW w:w="1702" w:type="dxa"/>
            <w:shd w:val="clear" w:color="auto" w:fill="auto"/>
          </w:tcPr>
          <w:p w14:paraId="67BC9C3D" w14:textId="77777777" w:rsidR="00FB4811" w:rsidRDefault="00B31CBF">
            <w:pPr>
              <w:jc w:val="both"/>
              <w:rPr>
                <w:rFonts w:cs="Arial"/>
                <w:b/>
                <w:bCs/>
                <w:sz w:val="18"/>
                <w:szCs w:val="18"/>
              </w:rPr>
            </w:pPr>
            <w:r>
              <w:rPr>
                <w:rFonts w:cs="Arial"/>
                <w:noProof/>
                <w:sz w:val="18"/>
                <w:szCs w:val="18"/>
              </w:rPr>
              <w:lastRenderedPageBreak/>
              <w:drawing>
                <wp:anchor distT="0" distB="0" distL="114300" distR="114300" simplePos="0" relativeHeight="251683840" behindDoc="1" locked="0" layoutInCell="1" allowOverlap="1" wp14:anchorId="181EFAA4" wp14:editId="7782281D">
                  <wp:simplePos x="0" y="0"/>
                  <wp:positionH relativeFrom="column">
                    <wp:posOffset>43065</wp:posOffset>
                  </wp:positionH>
                  <wp:positionV relativeFrom="paragraph">
                    <wp:posOffset>-184900</wp:posOffset>
                  </wp:positionV>
                  <wp:extent cx="1294843" cy="590106"/>
                  <wp:effectExtent l="0" t="0" r="635"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94843" cy="590106"/>
                          </a:xfrm>
                          <a:prstGeom prst="rect">
                            <a:avLst/>
                          </a:prstGeom>
                        </pic:spPr>
                      </pic:pic>
                    </a:graphicData>
                  </a:graphic>
                  <wp14:sizeRelH relativeFrom="margin">
                    <wp14:pctWidth>0</wp14:pctWidth>
                  </wp14:sizeRelH>
                  <wp14:sizeRelV relativeFrom="margin">
                    <wp14:pctHeight>0</wp14:pctHeight>
                  </wp14:sizeRelV>
                </wp:anchor>
              </w:drawing>
            </w:r>
          </w:p>
        </w:tc>
        <w:tc>
          <w:tcPr>
            <w:tcW w:w="572" w:type="dxa"/>
          </w:tcPr>
          <w:p w14:paraId="49C2B17E" w14:textId="77777777" w:rsidR="00FB4811" w:rsidRDefault="00FB4811">
            <w:pPr>
              <w:tabs>
                <w:tab w:val="left" w:pos="3240"/>
                <w:tab w:val="left" w:pos="4680"/>
                <w:tab w:val="left" w:pos="6624"/>
              </w:tabs>
              <w:spacing w:before="240" w:after="42" w:line="203" w:lineRule="exact"/>
              <w:textAlignment w:val="baseline"/>
              <w:rPr>
                <w:rFonts w:eastAsia="Calibri" w:cs="Arial"/>
                <w:b/>
                <w:color w:val="000000"/>
                <w:sz w:val="18"/>
                <w:szCs w:val="18"/>
              </w:rPr>
            </w:pPr>
          </w:p>
        </w:tc>
        <w:tc>
          <w:tcPr>
            <w:tcW w:w="8216" w:type="dxa"/>
            <w:shd w:val="clear" w:color="auto" w:fill="auto"/>
          </w:tcPr>
          <w:p w14:paraId="4D2006BD" w14:textId="77777777" w:rsidR="00FB4811" w:rsidRDefault="00B31CBF">
            <w:pPr>
              <w:tabs>
                <w:tab w:val="left" w:pos="3240"/>
                <w:tab w:val="left" w:pos="4680"/>
                <w:tab w:val="left" w:pos="6624"/>
              </w:tabs>
              <w:spacing w:after="42" w:line="203" w:lineRule="exact"/>
              <w:textAlignment w:val="baseline"/>
              <w:rPr>
                <w:rFonts w:eastAsia="Calibri" w:cs="Arial"/>
                <w:b/>
                <w:color w:val="000000"/>
                <w:sz w:val="18"/>
                <w:szCs w:val="18"/>
              </w:rPr>
            </w:pPr>
            <w:r>
              <w:rPr>
                <w:rFonts w:eastAsia="Calibri" w:cs="Arial"/>
                <w:b/>
                <w:color w:val="000000"/>
                <w:sz w:val="18"/>
                <w:szCs w:val="18"/>
              </w:rPr>
              <w:t>Welche sind die Hauptinvestitionen dieses Finanzprodukts?</w:t>
            </w:r>
          </w:p>
          <w:p w14:paraId="60AF63F0" w14:textId="77777777" w:rsidR="00FB4811" w:rsidRDefault="00FB4811">
            <w:pPr>
              <w:tabs>
                <w:tab w:val="left" w:pos="3240"/>
                <w:tab w:val="left" w:pos="4680"/>
                <w:tab w:val="left" w:pos="6624"/>
              </w:tabs>
              <w:spacing w:after="42" w:line="203" w:lineRule="exact"/>
              <w:textAlignment w:val="baseline"/>
              <w:rPr>
                <w:rFonts w:eastAsia="Calibri" w:cs="Arial"/>
                <w:b/>
                <w:color w:val="000000"/>
                <w:sz w:val="18"/>
                <w:szCs w:val="18"/>
              </w:rPr>
            </w:pPr>
          </w:p>
        </w:tc>
      </w:tr>
      <w:tr w:rsidR="00FB4811" w14:paraId="72BD028D" w14:textId="77777777" w:rsidTr="00EA5280">
        <w:tc>
          <w:tcPr>
            <w:tcW w:w="1702" w:type="dxa"/>
            <w:shd w:val="clear" w:color="auto" w:fill="F2F2F2" w:themeFill="background1" w:themeFillShade="F2"/>
          </w:tcPr>
          <w:p w14:paraId="017B399A" w14:textId="77777777" w:rsidR="00FB4811" w:rsidRDefault="00B31CBF">
            <w:pPr>
              <w:rPr>
                <w:rFonts w:cs="Arial"/>
                <w:noProof/>
                <w:sz w:val="18"/>
                <w:szCs w:val="18"/>
              </w:rPr>
            </w:pPr>
            <w:r>
              <w:rPr>
                <w:rFonts w:cs="Arial"/>
                <w:szCs w:val="15"/>
              </w:rPr>
              <w:t xml:space="preserve">Die Liste umfasst die  folgenden Investitionen, auf </w:t>
            </w:r>
            <w:r>
              <w:rPr>
                <w:rFonts w:cs="Arial"/>
                <w:szCs w:val="15"/>
              </w:rPr>
              <w:br/>
              <w:t>die der größte Anteil der im Bezugszeitraum getätigten Investitionen des Finanz</w:t>
            </w:r>
            <w:r>
              <w:rPr>
                <w:rFonts w:cs="Arial"/>
                <w:szCs w:val="15"/>
              </w:rPr>
              <w:softHyphen/>
              <w:t xml:space="preserve">produkts entfiel: </w:t>
            </w:r>
          </w:p>
        </w:tc>
        <w:tc>
          <w:tcPr>
            <w:tcW w:w="572" w:type="dxa"/>
          </w:tcPr>
          <w:p w14:paraId="6F5D79A5" w14:textId="77777777" w:rsidR="00FB4811" w:rsidRDefault="00FB4811">
            <w:pPr>
              <w:tabs>
                <w:tab w:val="left" w:pos="3240"/>
                <w:tab w:val="left" w:pos="4680"/>
                <w:tab w:val="left" w:pos="6624"/>
              </w:tabs>
              <w:spacing w:before="240" w:after="42" w:line="203" w:lineRule="exact"/>
              <w:textAlignment w:val="baseline"/>
              <w:rPr>
                <w:rFonts w:eastAsia="Calibri" w:cs="Arial"/>
                <w:b/>
                <w:i/>
                <w:color w:val="000000"/>
                <w:spacing w:val="-5"/>
                <w:sz w:val="18"/>
                <w:szCs w:val="18"/>
              </w:rPr>
            </w:pPr>
          </w:p>
        </w:tc>
        <w:tc>
          <w:tcPr>
            <w:tcW w:w="8216" w:type="dxa"/>
            <w:shd w:val="clear" w:color="auto" w:fill="auto"/>
          </w:tcPr>
          <w:tbl>
            <w:tblPr>
              <w:tblStyle w:val="Tabellenraster"/>
              <w:tblW w:w="0" w:type="auto"/>
              <w:tblLayout w:type="fixed"/>
              <w:tblLook w:val="04A0" w:firstRow="1" w:lastRow="0" w:firstColumn="1" w:lastColumn="0" w:noHBand="0" w:noVBand="1"/>
            </w:tblPr>
            <w:tblGrid>
              <w:gridCol w:w="3000"/>
              <w:gridCol w:w="1701"/>
              <w:gridCol w:w="1706"/>
              <w:gridCol w:w="1418"/>
            </w:tblGrid>
            <w:tr w:rsidR="00FB4811" w:rsidRPr="00B31CBF" w14:paraId="1262C2C6" w14:textId="77777777">
              <w:tc>
                <w:tcPr>
                  <w:tcW w:w="3000" w:type="dxa"/>
                </w:tcPr>
                <w:p w14:paraId="7010B1B1" w14:textId="77777777" w:rsidR="00FB4811" w:rsidRPr="009F3034" w:rsidRDefault="00B31CBF" w:rsidP="009F3034">
                  <w:pPr>
                    <w:tabs>
                      <w:tab w:val="left" w:pos="3240"/>
                      <w:tab w:val="left" w:pos="4680"/>
                      <w:tab w:val="left" w:pos="6624"/>
                    </w:tabs>
                    <w:spacing w:after="42" w:line="203" w:lineRule="exact"/>
                    <w:jc w:val="center"/>
                    <w:textAlignment w:val="baseline"/>
                    <w:rPr>
                      <w:rFonts w:eastAsia="Calibri" w:cs="Arial"/>
                      <w:b/>
                      <w:color w:val="000000"/>
                      <w:spacing w:val="-5"/>
                      <w:sz w:val="18"/>
                      <w:szCs w:val="18"/>
                      <w:lang w:val="en-US"/>
                    </w:rPr>
                  </w:pPr>
                  <w:r w:rsidRPr="009F3034">
                    <w:rPr>
                      <w:rFonts w:eastAsia="Calibri" w:cs="Arial"/>
                      <w:b/>
                      <w:color w:val="000000"/>
                      <w:spacing w:val="-5"/>
                      <w:sz w:val="18"/>
                      <w:szCs w:val="18"/>
                      <w:lang w:val="en-US"/>
                    </w:rPr>
                    <w:t>Größte Investitionen</w:t>
                  </w:r>
                </w:p>
              </w:tc>
              <w:tc>
                <w:tcPr>
                  <w:tcW w:w="1701" w:type="dxa"/>
                </w:tcPr>
                <w:p w14:paraId="4B7DB754" w14:textId="77777777" w:rsidR="00FB4811" w:rsidRPr="009F3034" w:rsidRDefault="00B31CBF" w:rsidP="009F3034">
                  <w:pPr>
                    <w:tabs>
                      <w:tab w:val="left" w:pos="3240"/>
                      <w:tab w:val="left" w:pos="4680"/>
                      <w:tab w:val="left" w:pos="6624"/>
                    </w:tabs>
                    <w:spacing w:after="42" w:line="203" w:lineRule="exact"/>
                    <w:jc w:val="center"/>
                    <w:textAlignment w:val="baseline"/>
                    <w:rPr>
                      <w:rFonts w:eastAsia="Calibri" w:cs="Arial"/>
                      <w:b/>
                      <w:color w:val="000000"/>
                      <w:spacing w:val="-5"/>
                      <w:sz w:val="18"/>
                      <w:szCs w:val="18"/>
                      <w:lang w:val="en-US"/>
                    </w:rPr>
                  </w:pPr>
                  <w:r w:rsidRPr="009F3034">
                    <w:rPr>
                      <w:rFonts w:eastAsia="Calibri" w:cs="Arial"/>
                      <w:b/>
                      <w:color w:val="000000"/>
                      <w:spacing w:val="-5"/>
                      <w:sz w:val="18"/>
                      <w:szCs w:val="18"/>
                      <w:lang w:val="en-US"/>
                    </w:rPr>
                    <w:t>Sektor</w:t>
                  </w:r>
                </w:p>
              </w:tc>
              <w:tc>
                <w:tcPr>
                  <w:tcW w:w="1706" w:type="dxa"/>
                </w:tcPr>
                <w:p w14:paraId="30EEFE3D" w14:textId="77777777" w:rsidR="00FB4811" w:rsidRPr="009F3034" w:rsidRDefault="00B31CBF" w:rsidP="009F3034">
                  <w:pPr>
                    <w:tabs>
                      <w:tab w:val="left" w:pos="3240"/>
                      <w:tab w:val="left" w:pos="4680"/>
                      <w:tab w:val="left" w:pos="6624"/>
                    </w:tabs>
                    <w:spacing w:after="42" w:line="203" w:lineRule="exact"/>
                    <w:jc w:val="center"/>
                    <w:textAlignment w:val="baseline"/>
                    <w:rPr>
                      <w:rFonts w:eastAsia="Calibri" w:cs="Arial"/>
                      <w:b/>
                      <w:color w:val="000000"/>
                      <w:spacing w:val="-5"/>
                      <w:sz w:val="18"/>
                      <w:szCs w:val="18"/>
                      <w:lang w:val="en-US"/>
                    </w:rPr>
                  </w:pPr>
                  <w:r w:rsidRPr="009F3034">
                    <w:rPr>
                      <w:rFonts w:eastAsia="Calibri" w:cs="Arial"/>
                      <w:b/>
                      <w:color w:val="000000"/>
                      <w:spacing w:val="-5"/>
                      <w:sz w:val="18"/>
                      <w:szCs w:val="18"/>
                      <w:lang w:val="en-US"/>
                    </w:rPr>
                    <w:t>In % der Vermögenswerte</w:t>
                  </w:r>
                </w:p>
              </w:tc>
              <w:tc>
                <w:tcPr>
                  <w:tcW w:w="1418" w:type="dxa"/>
                </w:tcPr>
                <w:p w14:paraId="5B9C3324" w14:textId="77777777" w:rsidR="00FB4811" w:rsidRPr="009F3034" w:rsidRDefault="00B31CBF" w:rsidP="009F3034">
                  <w:pPr>
                    <w:tabs>
                      <w:tab w:val="left" w:pos="3240"/>
                      <w:tab w:val="left" w:pos="4680"/>
                      <w:tab w:val="left" w:pos="6624"/>
                    </w:tabs>
                    <w:spacing w:after="42" w:line="203" w:lineRule="exact"/>
                    <w:jc w:val="center"/>
                    <w:textAlignment w:val="baseline"/>
                    <w:rPr>
                      <w:rFonts w:eastAsia="Calibri" w:cs="Arial"/>
                      <w:b/>
                      <w:color w:val="000000"/>
                      <w:spacing w:val="-5"/>
                      <w:sz w:val="18"/>
                      <w:szCs w:val="18"/>
                      <w:lang w:val="en-US"/>
                    </w:rPr>
                  </w:pPr>
                  <w:r w:rsidRPr="009F3034">
                    <w:rPr>
                      <w:rFonts w:eastAsia="Calibri" w:cs="Arial"/>
                      <w:b/>
                      <w:color w:val="000000"/>
                      <w:spacing w:val="-5"/>
                      <w:sz w:val="18"/>
                      <w:szCs w:val="18"/>
                      <w:lang w:val="en-US"/>
                    </w:rPr>
                    <w:t>Land</w:t>
                  </w:r>
                </w:p>
              </w:tc>
            </w:tr>
            <w:tr w:rsidR="00721118" w:rsidRPr="00B31CBF" w14:paraId="2A5F3389" w14:textId="77777777" w:rsidTr="00721118">
              <w:tc>
                <w:tcPr>
                  <w:tcW w:w="3000" w:type="dxa"/>
                </w:tcPr>
                <w:p w14:paraId="71D6DF79" w14:textId="6C36FFBA" w:rsidR="00721118" w:rsidRPr="00B61A8D" w:rsidRDefault="00721118" w:rsidP="00721118">
                  <w:pPr>
                    <w:rPr>
                      <w:rFonts w:eastAsia="Calibri" w:cs="Arial"/>
                      <w:color w:val="000000"/>
                      <w:spacing w:val="-5"/>
                      <w:sz w:val="16"/>
                      <w:szCs w:val="16"/>
                      <w:lang w:val="en-US"/>
                    </w:rPr>
                  </w:pPr>
                  <w:r w:rsidRPr="00B61A8D">
                    <w:rPr>
                      <w:rFonts w:cs="Arial"/>
                      <w:sz w:val="16"/>
                      <w:szCs w:val="16"/>
                      <w:lang w:val="en-GB"/>
                    </w:rPr>
                    <w:t>Microsoft Corp. Registered Shares DL-,00000625</w:t>
                  </w:r>
                </w:p>
              </w:tc>
              <w:tc>
                <w:tcPr>
                  <w:tcW w:w="1701" w:type="dxa"/>
                  <w:vAlign w:val="center"/>
                </w:tcPr>
                <w:p w14:paraId="5B4811FA" w14:textId="53AF6DE0" w:rsidR="00721118" w:rsidRPr="00B61A8D" w:rsidRDefault="00721118" w:rsidP="00721118">
                  <w:pPr>
                    <w:jc w:val="center"/>
                    <w:rPr>
                      <w:rFonts w:eastAsia="Calibri" w:cs="Arial"/>
                      <w:sz w:val="16"/>
                      <w:szCs w:val="16"/>
                      <w:lang w:val="en-US"/>
                    </w:rPr>
                  </w:pPr>
                  <w:r w:rsidRPr="00957D7E">
                    <w:t>Technologie</w:t>
                  </w:r>
                </w:p>
              </w:tc>
              <w:tc>
                <w:tcPr>
                  <w:tcW w:w="1706" w:type="dxa"/>
                  <w:vAlign w:val="center"/>
                </w:tcPr>
                <w:p w14:paraId="76E688BF" w14:textId="1871A06E" w:rsidR="00721118" w:rsidRPr="00B61A8D" w:rsidRDefault="00721118" w:rsidP="00721118">
                  <w:pPr>
                    <w:jc w:val="center"/>
                    <w:rPr>
                      <w:rFonts w:eastAsia="Calibri" w:cs="Arial"/>
                      <w:sz w:val="16"/>
                      <w:szCs w:val="16"/>
                      <w:lang w:val="en-US"/>
                    </w:rPr>
                  </w:pPr>
                  <w:r w:rsidRPr="00B61A8D">
                    <w:rPr>
                      <w:rFonts w:cs="Arial"/>
                      <w:sz w:val="16"/>
                      <w:szCs w:val="16"/>
                    </w:rPr>
                    <w:t>2.68%</w:t>
                  </w:r>
                </w:p>
              </w:tc>
              <w:tc>
                <w:tcPr>
                  <w:tcW w:w="1418" w:type="dxa"/>
                  <w:vAlign w:val="center"/>
                </w:tcPr>
                <w:p w14:paraId="0518FAEE" w14:textId="77777777" w:rsidR="00721118" w:rsidRPr="00B61A8D" w:rsidRDefault="00721118" w:rsidP="00721118">
                  <w:pPr>
                    <w:jc w:val="center"/>
                    <w:rPr>
                      <w:rFonts w:eastAsia="Calibri" w:cs="Arial"/>
                      <w:sz w:val="16"/>
                      <w:szCs w:val="16"/>
                      <w:lang w:val="en-US"/>
                    </w:rPr>
                  </w:pPr>
                  <w:r w:rsidRPr="00B61A8D">
                    <w:rPr>
                      <w:rFonts w:eastAsia="Calibri" w:cs="Arial"/>
                      <w:sz w:val="16"/>
                      <w:szCs w:val="16"/>
                      <w:lang w:val="en-US"/>
                    </w:rPr>
                    <w:t>USA</w:t>
                  </w:r>
                </w:p>
              </w:tc>
            </w:tr>
            <w:tr w:rsidR="00721118" w:rsidRPr="00B31CBF" w14:paraId="16FC38B5" w14:textId="77777777" w:rsidTr="00721118">
              <w:tc>
                <w:tcPr>
                  <w:tcW w:w="3000" w:type="dxa"/>
                </w:tcPr>
                <w:p w14:paraId="2148D5A7" w14:textId="5BB44181" w:rsidR="00721118" w:rsidRPr="00B61A8D" w:rsidRDefault="00721118" w:rsidP="00721118">
                  <w:pPr>
                    <w:rPr>
                      <w:rFonts w:eastAsia="Calibri" w:cs="Arial"/>
                      <w:color w:val="000000"/>
                      <w:spacing w:val="-5"/>
                      <w:sz w:val="16"/>
                      <w:szCs w:val="16"/>
                      <w:lang w:val="en-US"/>
                    </w:rPr>
                  </w:pPr>
                  <w:r w:rsidRPr="00B61A8D">
                    <w:rPr>
                      <w:rFonts w:cs="Arial"/>
                      <w:sz w:val="16"/>
                      <w:szCs w:val="16"/>
                      <w:lang w:val="en-GB"/>
                    </w:rPr>
                    <w:t>NVIDIA Corp. Registered Shares DL-,001</w:t>
                  </w:r>
                </w:p>
              </w:tc>
              <w:tc>
                <w:tcPr>
                  <w:tcW w:w="1701" w:type="dxa"/>
                  <w:vAlign w:val="center"/>
                </w:tcPr>
                <w:p w14:paraId="02393B11" w14:textId="6BB5D061" w:rsidR="00721118" w:rsidRPr="00B61A8D" w:rsidRDefault="00721118" w:rsidP="00721118">
                  <w:pPr>
                    <w:jc w:val="center"/>
                    <w:rPr>
                      <w:rFonts w:eastAsia="Calibri" w:cs="Arial"/>
                      <w:color w:val="000000"/>
                      <w:spacing w:val="-5"/>
                      <w:sz w:val="16"/>
                      <w:szCs w:val="16"/>
                      <w:lang w:val="en-US"/>
                    </w:rPr>
                  </w:pPr>
                  <w:r w:rsidRPr="00957D7E">
                    <w:t>Technologie</w:t>
                  </w:r>
                </w:p>
              </w:tc>
              <w:tc>
                <w:tcPr>
                  <w:tcW w:w="1706" w:type="dxa"/>
                  <w:vAlign w:val="center"/>
                </w:tcPr>
                <w:p w14:paraId="689BB505" w14:textId="3ECBC491"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1.60%</w:t>
                  </w:r>
                </w:p>
              </w:tc>
              <w:tc>
                <w:tcPr>
                  <w:tcW w:w="1418" w:type="dxa"/>
                  <w:vAlign w:val="center"/>
                </w:tcPr>
                <w:p w14:paraId="387C635A"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4AF77096" w14:textId="77777777" w:rsidTr="00721118">
              <w:tc>
                <w:tcPr>
                  <w:tcW w:w="3000" w:type="dxa"/>
                </w:tcPr>
                <w:p w14:paraId="65183664" w14:textId="521C13F2" w:rsidR="00721118" w:rsidRPr="00B61A8D" w:rsidRDefault="00721118" w:rsidP="00721118">
                  <w:pPr>
                    <w:rPr>
                      <w:rFonts w:eastAsia="Calibri" w:cs="Arial"/>
                      <w:color w:val="000000"/>
                      <w:spacing w:val="-5"/>
                      <w:sz w:val="16"/>
                      <w:szCs w:val="16"/>
                      <w:lang w:val="en-US"/>
                    </w:rPr>
                  </w:pPr>
                  <w:r w:rsidRPr="00B61A8D">
                    <w:rPr>
                      <w:rFonts w:cs="Arial"/>
                      <w:sz w:val="16"/>
                      <w:szCs w:val="16"/>
                      <w:lang w:val="en-GB"/>
                    </w:rPr>
                    <w:t>Tesla Inc. Registered Shares DL-,001</w:t>
                  </w:r>
                </w:p>
              </w:tc>
              <w:tc>
                <w:tcPr>
                  <w:tcW w:w="1701" w:type="dxa"/>
                  <w:vAlign w:val="center"/>
                </w:tcPr>
                <w:p w14:paraId="6CEB94D5" w14:textId="06AAF70A" w:rsidR="00721118" w:rsidRPr="00B61A8D" w:rsidRDefault="00721118" w:rsidP="00721118">
                  <w:pPr>
                    <w:jc w:val="center"/>
                    <w:rPr>
                      <w:rFonts w:eastAsia="Calibri" w:cs="Arial"/>
                      <w:color w:val="000000"/>
                      <w:spacing w:val="-5"/>
                      <w:sz w:val="16"/>
                      <w:szCs w:val="16"/>
                      <w:lang w:val="en-US"/>
                    </w:rPr>
                  </w:pPr>
                  <w:r w:rsidRPr="00957D7E">
                    <w:t>Automobile und Ersatzteile</w:t>
                  </w:r>
                </w:p>
              </w:tc>
              <w:tc>
                <w:tcPr>
                  <w:tcW w:w="1706" w:type="dxa"/>
                  <w:vAlign w:val="center"/>
                </w:tcPr>
                <w:p w14:paraId="24B9AEE9" w14:textId="10879694"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1.42%</w:t>
                  </w:r>
                </w:p>
              </w:tc>
              <w:tc>
                <w:tcPr>
                  <w:tcW w:w="1418" w:type="dxa"/>
                  <w:vAlign w:val="center"/>
                </w:tcPr>
                <w:p w14:paraId="0277DA1E"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18FB29F5" w14:textId="77777777" w:rsidTr="00721118">
              <w:tc>
                <w:tcPr>
                  <w:tcW w:w="3000" w:type="dxa"/>
                </w:tcPr>
                <w:p w14:paraId="11A71379" w14:textId="28F068CA" w:rsidR="00721118" w:rsidRPr="00B61A8D" w:rsidRDefault="00721118" w:rsidP="00721118">
                  <w:pPr>
                    <w:rPr>
                      <w:rFonts w:cs="Arial"/>
                      <w:sz w:val="16"/>
                      <w:szCs w:val="16"/>
                      <w:lang w:val="en-US"/>
                    </w:rPr>
                  </w:pPr>
                  <w:r w:rsidRPr="00B61A8D">
                    <w:rPr>
                      <w:rFonts w:cs="Arial"/>
                      <w:sz w:val="16"/>
                      <w:szCs w:val="16"/>
                      <w:lang w:val="en-GB"/>
                    </w:rPr>
                    <w:t>Home Depot Inc., The Registered Shares DL -,05</w:t>
                  </w:r>
                </w:p>
              </w:tc>
              <w:tc>
                <w:tcPr>
                  <w:tcW w:w="1701" w:type="dxa"/>
                  <w:vAlign w:val="center"/>
                </w:tcPr>
                <w:p w14:paraId="51A2BF6E" w14:textId="4A3704C3" w:rsidR="00721118" w:rsidRPr="00B61A8D" w:rsidRDefault="00721118" w:rsidP="00721118">
                  <w:pPr>
                    <w:jc w:val="center"/>
                    <w:rPr>
                      <w:rFonts w:eastAsia="Calibri" w:cs="Arial"/>
                      <w:color w:val="000000"/>
                      <w:spacing w:val="-5"/>
                      <w:sz w:val="16"/>
                      <w:szCs w:val="16"/>
                      <w:lang w:val="en-US"/>
                    </w:rPr>
                  </w:pPr>
                  <w:r w:rsidRPr="00957D7E">
                    <w:t>Einzelhandel</w:t>
                  </w:r>
                </w:p>
              </w:tc>
              <w:tc>
                <w:tcPr>
                  <w:tcW w:w="1706" w:type="dxa"/>
                  <w:vAlign w:val="center"/>
                </w:tcPr>
                <w:p w14:paraId="6B96BAD2" w14:textId="24998555"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1.41%</w:t>
                  </w:r>
                </w:p>
              </w:tc>
              <w:tc>
                <w:tcPr>
                  <w:tcW w:w="1418" w:type="dxa"/>
                  <w:vAlign w:val="center"/>
                </w:tcPr>
                <w:p w14:paraId="1089FEA8"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0D2B62E4" w14:textId="77777777" w:rsidTr="00721118">
              <w:tc>
                <w:tcPr>
                  <w:tcW w:w="3000" w:type="dxa"/>
                </w:tcPr>
                <w:p w14:paraId="768554F2" w14:textId="19846BA6" w:rsidR="00721118" w:rsidRPr="00B61A8D" w:rsidRDefault="00721118" w:rsidP="00721118">
                  <w:pPr>
                    <w:rPr>
                      <w:rFonts w:cs="Arial"/>
                      <w:sz w:val="16"/>
                      <w:szCs w:val="16"/>
                      <w:lang w:val="en-US"/>
                    </w:rPr>
                  </w:pPr>
                  <w:r w:rsidRPr="00B61A8D">
                    <w:rPr>
                      <w:rFonts w:cs="Arial"/>
                      <w:sz w:val="16"/>
                      <w:szCs w:val="16"/>
                      <w:lang w:val="en-GB"/>
                    </w:rPr>
                    <w:t>Adobe Inc. Registered Shares o.N.</w:t>
                  </w:r>
                </w:p>
              </w:tc>
              <w:tc>
                <w:tcPr>
                  <w:tcW w:w="1701" w:type="dxa"/>
                  <w:vAlign w:val="center"/>
                </w:tcPr>
                <w:p w14:paraId="7418C9E9" w14:textId="1A01D333" w:rsidR="00721118" w:rsidRPr="00B61A8D" w:rsidRDefault="00721118" w:rsidP="00721118">
                  <w:pPr>
                    <w:jc w:val="center"/>
                    <w:rPr>
                      <w:rFonts w:eastAsia="Calibri" w:cs="Arial"/>
                      <w:color w:val="000000"/>
                      <w:spacing w:val="-5"/>
                      <w:sz w:val="16"/>
                      <w:szCs w:val="16"/>
                      <w:lang w:val="en-US"/>
                    </w:rPr>
                  </w:pPr>
                  <w:r w:rsidRPr="00957D7E">
                    <w:t>Technologie</w:t>
                  </w:r>
                </w:p>
              </w:tc>
              <w:tc>
                <w:tcPr>
                  <w:tcW w:w="1706" w:type="dxa"/>
                  <w:vAlign w:val="center"/>
                </w:tcPr>
                <w:p w14:paraId="7606F58A" w14:textId="0B98305E"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1.28%</w:t>
                  </w:r>
                </w:p>
              </w:tc>
              <w:tc>
                <w:tcPr>
                  <w:tcW w:w="1418" w:type="dxa"/>
                  <w:vAlign w:val="center"/>
                </w:tcPr>
                <w:p w14:paraId="04069FC1"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66282A6C" w14:textId="77777777" w:rsidTr="00721118">
              <w:tc>
                <w:tcPr>
                  <w:tcW w:w="3000" w:type="dxa"/>
                </w:tcPr>
                <w:p w14:paraId="547D8C02" w14:textId="2FAAF106" w:rsidR="00721118" w:rsidRPr="00B61A8D" w:rsidRDefault="00721118" w:rsidP="00721118">
                  <w:pPr>
                    <w:rPr>
                      <w:rFonts w:cs="Arial"/>
                      <w:sz w:val="16"/>
                      <w:szCs w:val="16"/>
                      <w:lang w:val="en-US"/>
                    </w:rPr>
                  </w:pPr>
                  <w:r w:rsidRPr="00B61A8D">
                    <w:rPr>
                      <w:rFonts w:cs="Arial"/>
                      <w:sz w:val="16"/>
                      <w:szCs w:val="16"/>
                      <w:lang w:val="en-GB"/>
                    </w:rPr>
                    <w:t>Coca-Cola Co., The Registered Shares DL -,25</w:t>
                  </w:r>
                </w:p>
              </w:tc>
              <w:tc>
                <w:tcPr>
                  <w:tcW w:w="1701" w:type="dxa"/>
                  <w:vAlign w:val="center"/>
                </w:tcPr>
                <w:p w14:paraId="6F7117FE" w14:textId="2B908EAE" w:rsidR="00721118" w:rsidRPr="00B61A8D" w:rsidRDefault="00721118" w:rsidP="00721118">
                  <w:pPr>
                    <w:jc w:val="center"/>
                    <w:rPr>
                      <w:rFonts w:eastAsia="Calibri" w:cs="Arial"/>
                      <w:color w:val="000000"/>
                      <w:spacing w:val="-5"/>
                      <w:sz w:val="16"/>
                      <w:szCs w:val="16"/>
                      <w:lang w:val="en-US"/>
                    </w:rPr>
                  </w:pPr>
                  <w:r w:rsidRPr="00957D7E">
                    <w:t>Nahrungsmittel und Getränke</w:t>
                  </w:r>
                </w:p>
              </w:tc>
              <w:tc>
                <w:tcPr>
                  <w:tcW w:w="1706" w:type="dxa"/>
                  <w:vAlign w:val="center"/>
                </w:tcPr>
                <w:p w14:paraId="60B2615C" w14:textId="3535EEB1"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0.99%</w:t>
                  </w:r>
                </w:p>
              </w:tc>
              <w:tc>
                <w:tcPr>
                  <w:tcW w:w="1418" w:type="dxa"/>
                  <w:vAlign w:val="center"/>
                </w:tcPr>
                <w:p w14:paraId="364DEA74"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097C53AB" w14:textId="77777777" w:rsidTr="00721118">
              <w:tc>
                <w:tcPr>
                  <w:tcW w:w="3000" w:type="dxa"/>
                </w:tcPr>
                <w:p w14:paraId="2DF0599C" w14:textId="67BF40DC" w:rsidR="00721118" w:rsidRPr="00B61A8D" w:rsidRDefault="00721118" w:rsidP="00721118">
                  <w:pPr>
                    <w:rPr>
                      <w:rFonts w:cs="Arial"/>
                      <w:sz w:val="16"/>
                      <w:szCs w:val="16"/>
                      <w:lang w:val="en-US"/>
                    </w:rPr>
                  </w:pPr>
                  <w:r w:rsidRPr="00B61A8D">
                    <w:rPr>
                      <w:rFonts w:cs="Arial"/>
                      <w:sz w:val="16"/>
                      <w:szCs w:val="16"/>
                      <w:lang w:val="en-GB"/>
                    </w:rPr>
                    <w:t>PepsiCo Inc. Registered Shares DL -,0166</w:t>
                  </w:r>
                </w:p>
              </w:tc>
              <w:tc>
                <w:tcPr>
                  <w:tcW w:w="1701" w:type="dxa"/>
                  <w:vAlign w:val="center"/>
                </w:tcPr>
                <w:p w14:paraId="78AA907B" w14:textId="19C8742C" w:rsidR="00721118" w:rsidRPr="00B61A8D" w:rsidRDefault="00721118" w:rsidP="00721118">
                  <w:pPr>
                    <w:jc w:val="center"/>
                    <w:rPr>
                      <w:rFonts w:eastAsia="Calibri" w:cs="Arial"/>
                      <w:color w:val="000000"/>
                      <w:spacing w:val="-5"/>
                      <w:sz w:val="16"/>
                      <w:szCs w:val="16"/>
                      <w:lang w:val="en-US"/>
                    </w:rPr>
                  </w:pPr>
                  <w:r w:rsidRPr="00957D7E">
                    <w:t>Nahrungsmittel und Getränke</w:t>
                  </w:r>
                </w:p>
              </w:tc>
              <w:tc>
                <w:tcPr>
                  <w:tcW w:w="1706" w:type="dxa"/>
                  <w:vAlign w:val="center"/>
                </w:tcPr>
                <w:p w14:paraId="4275C495" w14:textId="7A63381C"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0.89%</w:t>
                  </w:r>
                </w:p>
              </w:tc>
              <w:tc>
                <w:tcPr>
                  <w:tcW w:w="1418" w:type="dxa"/>
                  <w:vAlign w:val="center"/>
                </w:tcPr>
                <w:p w14:paraId="3B035262"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3574C58D" w14:textId="77777777" w:rsidTr="00721118">
              <w:tc>
                <w:tcPr>
                  <w:tcW w:w="3000" w:type="dxa"/>
                </w:tcPr>
                <w:p w14:paraId="01A28757" w14:textId="3288719F" w:rsidR="00721118" w:rsidRPr="00B61A8D" w:rsidRDefault="00721118" w:rsidP="00721118">
                  <w:pPr>
                    <w:rPr>
                      <w:rFonts w:cs="Arial"/>
                      <w:sz w:val="16"/>
                      <w:szCs w:val="16"/>
                      <w:lang w:val="en-GB"/>
                    </w:rPr>
                  </w:pPr>
                  <w:r w:rsidRPr="00B61A8D">
                    <w:rPr>
                      <w:rFonts w:cs="Arial"/>
                      <w:sz w:val="16"/>
                      <w:szCs w:val="16"/>
                      <w:lang w:val="en-GB"/>
                    </w:rPr>
                    <w:t>Texas Instruments Inc. Registered Shares DL 1</w:t>
                  </w:r>
                </w:p>
              </w:tc>
              <w:tc>
                <w:tcPr>
                  <w:tcW w:w="1701" w:type="dxa"/>
                  <w:vAlign w:val="center"/>
                </w:tcPr>
                <w:p w14:paraId="532EBB45" w14:textId="172169D8" w:rsidR="00721118" w:rsidRPr="00B61A8D" w:rsidRDefault="00721118" w:rsidP="00721118">
                  <w:pPr>
                    <w:jc w:val="center"/>
                    <w:rPr>
                      <w:rFonts w:eastAsia="Calibri" w:cs="Arial"/>
                      <w:color w:val="000000"/>
                      <w:spacing w:val="-5"/>
                      <w:sz w:val="16"/>
                      <w:szCs w:val="16"/>
                      <w:lang w:val="en-US"/>
                    </w:rPr>
                  </w:pPr>
                  <w:r w:rsidRPr="00957D7E">
                    <w:t>Technologie</w:t>
                  </w:r>
                </w:p>
              </w:tc>
              <w:tc>
                <w:tcPr>
                  <w:tcW w:w="1706" w:type="dxa"/>
                  <w:vAlign w:val="center"/>
                </w:tcPr>
                <w:p w14:paraId="42D3156B" w14:textId="1CC3651C"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0.89%</w:t>
                  </w:r>
                </w:p>
              </w:tc>
              <w:tc>
                <w:tcPr>
                  <w:tcW w:w="1418" w:type="dxa"/>
                  <w:vAlign w:val="center"/>
                </w:tcPr>
                <w:p w14:paraId="36E97686"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1AEEA9D6" w14:textId="77777777" w:rsidTr="00721118">
              <w:tc>
                <w:tcPr>
                  <w:tcW w:w="3000" w:type="dxa"/>
                </w:tcPr>
                <w:p w14:paraId="5BCB8804" w14:textId="1DE6B7D2" w:rsidR="00721118" w:rsidRPr="00B61A8D" w:rsidRDefault="00721118" w:rsidP="00721118">
                  <w:pPr>
                    <w:rPr>
                      <w:rFonts w:cs="Arial"/>
                      <w:sz w:val="16"/>
                      <w:szCs w:val="16"/>
                      <w:lang w:val="en-US"/>
                    </w:rPr>
                  </w:pPr>
                  <w:r w:rsidRPr="00B61A8D">
                    <w:rPr>
                      <w:rFonts w:cs="Arial"/>
                      <w:sz w:val="16"/>
                      <w:szCs w:val="16"/>
                      <w:lang w:val="en-GB"/>
                    </w:rPr>
                    <w:t>S&amp;P Global Inc. Registered Shares DL 1</w:t>
                  </w:r>
                </w:p>
              </w:tc>
              <w:tc>
                <w:tcPr>
                  <w:tcW w:w="1701" w:type="dxa"/>
                  <w:vAlign w:val="center"/>
                </w:tcPr>
                <w:p w14:paraId="2A2DDA78" w14:textId="5572181D" w:rsidR="00721118" w:rsidRPr="00B61A8D" w:rsidRDefault="00721118" w:rsidP="00721118">
                  <w:pPr>
                    <w:jc w:val="center"/>
                    <w:rPr>
                      <w:rFonts w:eastAsia="Calibri" w:cs="Arial"/>
                      <w:color w:val="000000"/>
                      <w:spacing w:val="-5"/>
                      <w:sz w:val="16"/>
                      <w:szCs w:val="16"/>
                      <w:lang w:val="en-US"/>
                    </w:rPr>
                  </w:pPr>
                  <w:r w:rsidRPr="00957D7E">
                    <w:t>Industriegüter und Dienstleistungen</w:t>
                  </w:r>
                </w:p>
              </w:tc>
              <w:tc>
                <w:tcPr>
                  <w:tcW w:w="1706" w:type="dxa"/>
                  <w:vAlign w:val="center"/>
                </w:tcPr>
                <w:p w14:paraId="3C22FF57" w14:textId="256A42A8"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0.82%</w:t>
                  </w:r>
                </w:p>
              </w:tc>
              <w:tc>
                <w:tcPr>
                  <w:tcW w:w="1418" w:type="dxa"/>
                  <w:vAlign w:val="center"/>
                </w:tcPr>
                <w:p w14:paraId="25AA8CF7"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6BFE16E4" w14:textId="77777777" w:rsidTr="00721118">
              <w:tc>
                <w:tcPr>
                  <w:tcW w:w="3000" w:type="dxa"/>
                </w:tcPr>
                <w:p w14:paraId="50F642DE" w14:textId="65142E1E" w:rsidR="00721118" w:rsidRPr="00B61A8D" w:rsidRDefault="00721118" w:rsidP="00721118">
                  <w:pPr>
                    <w:rPr>
                      <w:rFonts w:cs="Arial"/>
                      <w:sz w:val="16"/>
                      <w:szCs w:val="16"/>
                      <w:lang w:val="en-US"/>
                    </w:rPr>
                  </w:pPr>
                  <w:r w:rsidRPr="00B61A8D">
                    <w:rPr>
                      <w:rFonts w:cs="Arial"/>
                      <w:sz w:val="16"/>
                      <w:szCs w:val="16"/>
                      <w:lang w:val="en-GB"/>
                    </w:rPr>
                    <w:t>Walt Disney Co., The Registered Shares DL -,01</w:t>
                  </w:r>
                </w:p>
              </w:tc>
              <w:tc>
                <w:tcPr>
                  <w:tcW w:w="1701" w:type="dxa"/>
                  <w:vAlign w:val="center"/>
                </w:tcPr>
                <w:p w14:paraId="12702D78" w14:textId="36A3471A" w:rsidR="00721118" w:rsidRPr="00B61A8D" w:rsidRDefault="00721118" w:rsidP="00721118">
                  <w:pPr>
                    <w:jc w:val="center"/>
                    <w:rPr>
                      <w:rFonts w:eastAsia="Calibri" w:cs="Arial"/>
                      <w:color w:val="000000"/>
                      <w:spacing w:val="-5"/>
                      <w:sz w:val="16"/>
                      <w:szCs w:val="16"/>
                      <w:lang w:val="en-US"/>
                    </w:rPr>
                  </w:pPr>
                  <w:r w:rsidRPr="00957D7E">
                    <w:t>Medien</w:t>
                  </w:r>
                </w:p>
              </w:tc>
              <w:tc>
                <w:tcPr>
                  <w:tcW w:w="1706" w:type="dxa"/>
                  <w:vAlign w:val="center"/>
                </w:tcPr>
                <w:p w14:paraId="748D20DE" w14:textId="2D9A21BB"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0.81%</w:t>
                  </w:r>
                </w:p>
              </w:tc>
              <w:tc>
                <w:tcPr>
                  <w:tcW w:w="1418" w:type="dxa"/>
                  <w:vAlign w:val="center"/>
                </w:tcPr>
                <w:p w14:paraId="6532E167" w14:textId="77777777" w:rsidR="00721118" w:rsidRPr="00B61A8D" w:rsidRDefault="00721118" w:rsidP="00721118">
                  <w:pPr>
                    <w:jc w:val="center"/>
                    <w:rPr>
                      <w:rFonts w:eastAsia="Calibri" w:cs="Arial"/>
                      <w:color w:val="000000"/>
                      <w:spacing w:val="-5"/>
                      <w:sz w:val="16"/>
                      <w:szCs w:val="16"/>
                      <w:lang w:val="en-US"/>
                    </w:rPr>
                  </w:pPr>
                  <w:r w:rsidRPr="00B61A8D">
                    <w:rPr>
                      <w:rFonts w:eastAsia="Calibri" w:cs="Arial"/>
                      <w:color w:val="000000"/>
                      <w:spacing w:val="-5"/>
                      <w:sz w:val="16"/>
                      <w:szCs w:val="16"/>
                      <w:lang w:val="en-US"/>
                    </w:rPr>
                    <w:t>USA</w:t>
                  </w:r>
                </w:p>
              </w:tc>
            </w:tr>
            <w:tr w:rsidR="00721118" w:rsidRPr="00B31CBF" w14:paraId="2FAA3D56" w14:textId="77777777" w:rsidTr="00721118">
              <w:tc>
                <w:tcPr>
                  <w:tcW w:w="3000" w:type="dxa"/>
                </w:tcPr>
                <w:p w14:paraId="0DC106F1" w14:textId="1B25B9E0" w:rsidR="00721118" w:rsidRPr="00B61A8D" w:rsidRDefault="00721118" w:rsidP="00721118">
                  <w:pPr>
                    <w:rPr>
                      <w:rFonts w:cs="Arial"/>
                      <w:sz w:val="16"/>
                      <w:szCs w:val="16"/>
                    </w:rPr>
                  </w:pPr>
                  <w:r w:rsidRPr="00B61A8D">
                    <w:rPr>
                      <w:rFonts w:cs="Arial"/>
                      <w:sz w:val="16"/>
                      <w:szCs w:val="16"/>
                    </w:rPr>
                    <w:t>Novo-Nordisk AS Navne-Aktier B DK -,20</w:t>
                  </w:r>
                </w:p>
              </w:tc>
              <w:tc>
                <w:tcPr>
                  <w:tcW w:w="1701" w:type="dxa"/>
                  <w:vAlign w:val="center"/>
                </w:tcPr>
                <w:p w14:paraId="4134046C" w14:textId="55A3B585" w:rsidR="00721118" w:rsidRPr="00B61A8D" w:rsidRDefault="00721118" w:rsidP="00721118">
                  <w:pPr>
                    <w:jc w:val="center"/>
                    <w:rPr>
                      <w:rFonts w:eastAsia="Calibri" w:cs="Arial"/>
                      <w:color w:val="000000"/>
                      <w:spacing w:val="-5"/>
                      <w:sz w:val="16"/>
                      <w:szCs w:val="16"/>
                      <w:lang w:val="en-US"/>
                    </w:rPr>
                  </w:pPr>
                  <w:r w:rsidRPr="00957D7E">
                    <w:t>Gesundheit</w:t>
                  </w:r>
                </w:p>
              </w:tc>
              <w:tc>
                <w:tcPr>
                  <w:tcW w:w="1706" w:type="dxa"/>
                  <w:vAlign w:val="center"/>
                </w:tcPr>
                <w:p w14:paraId="039A77E8" w14:textId="3CC71FEB"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0.80%</w:t>
                  </w:r>
                </w:p>
              </w:tc>
              <w:tc>
                <w:tcPr>
                  <w:tcW w:w="1418" w:type="dxa"/>
                  <w:vAlign w:val="center"/>
                </w:tcPr>
                <w:p w14:paraId="57F6BC7F" w14:textId="07CF692A"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Dänemark</w:t>
                  </w:r>
                </w:p>
              </w:tc>
            </w:tr>
            <w:tr w:rsidR="00721118" w:rsidRPr="00B31CBF" w14:paraId="2B7BB146" w14:textId="77777777" w:rsidTr="00721118">
              <w:tc>
                <w:tcPr>
                  <w:tcW w:w="3000" w:type="dxa"/>
                </w:tcPr>
                <w:p w14:paraId="30FFE6FB" w14:textId="0A6CD031" w:rsidR="00721118" w:rsidRPr="00B61A8D" w:rsidRDefault="00721118" w:rsidP="00721118">
                  <w:pPr>
                    <w:rPr>
                      <w:rFonts w:cs="Arial"/>
                      <w:sz w:val="16"/>
                      <w:szCs w:val="16"/>
                      <w:lang w:val="en-GB"/>
                    </w:rPr>
                  </w:pPr>
                  <w:r w:rsidRPr="00B61A8D">
                    <w:rPr>
                      <w:rFonts w:cs="Arial"/>
                      <w:sz w:val="16"/>
                      <w:szCs w:val="16"/>
                      <w:lang w:val="en-GB"/>
                    </w:rPr>
                    <w:t>Schneider Electric SE Actions Port. EO 4</w:t>
                  </w:r>
                </w:p>
              </w:tc>
              <w:tc>
                <w:tcPr>
                  <w:tcW w:w="1701" w:type="dxa"/>
                  <w:vAlign w:val="center"/>
                </w:tcPr>
                <w:p w14:paraId="644D03BF" w14:textId="7B08FBDA" w:rsidR="00721118" w:rsidRPr="00B61A8D" w:rsidRDefault="00721118" w:rsidP="00721118">
                  <w:pPr>
                    <w:jc w:val="center"/>
                    <w:rPr>
                      <w:rFonts w:eastAsia="Calibri" w:cs="Arial"/>
                      <w:color w:val="000000"/>
                      <w:spacing w:val="-5"/>
                      <w:sz w:val="16"/>
                      <w:szCs w:val="16"/>
                      <w:lang w:val="en-US"/>
                    </w:rPr>
                  </w:pPr>
                  <w:r w:rsidRPr="00957D7E">
                    <w:t>Industriegüter und Dienstleistungen</w:t>
                  </w:r>
                </w:p>
              </w:tc>
              <w:tc>
                <w:tcPr>
                  <w:tcW w:w="1706" w:type="dxa"/>
                  <w:vAlign w:val="center"/>
                </w:tcPr>
                <w:p w14:paraId="7995AB0C" w14:textId="79E6A64D"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0.74%</w:t>
                  </w:r>
                </w:p>
              </w:tc>
              <w:tc>
                <w:tcPr>
                  <w:tcW w:w="1418" w:type="dxa"/>
                  <w:vAlign w:val="center"/>
                </w:tcPr>
                <w:p w14:paraId="7DCFE471" w14:textId="5A6FA87F" w:rsidR="00721118" w:rsidRPr="00B61A8D" w:rsidRDefault="00721118" w:rsidP="00721118">
                  <w:pPr>
                    <w:jc w:val="center"/>
                    <w:rPr>
                      <w:rFonts w:eastAsia="Calibri" w:cs="Arial"/>
                      <w:color w:val="000000"/>
                      <w:spacing w:val="-5"/>
                      <w:sz w:val="16"/>
                      <w:szCs w:val="16"/>
                      <w:lang w:val="en-US"/>
                    </w:rPr>
                  </w:pPr>
                  <w:r w:rsidRPr="00B61A8D">
                    <w:rPr>
                      <w:rFonts w:cs="Arial"/>
                      <w:sz w:val="16"/>
                      <w:szCs w:val="16"/>
                    </w:rPr>
                    <w:t>Frankreich</w:t>
                  </w:r>
                </w:p>
              </w:tc>
            </w:tr>
            <w:tr w:rsidR="00721118" w:rsidRPr="00B31CBF" w14:paraId="60439201" w14:textId="77777777" w:rsidTr="00721118">
              <w:tc>
                <w:tcPr>
                  <w:tcW w:w="3000" w:type="dxa"/>
                </w:tcPr>
                <w:p w14:paraId="434C8566" w14:textId="1DA7FF7F" w:rsidR="00721118" w:rsidRPr="00B61A8D" w:rsidRDefault="00721118" w:rsidP="00721118">
                  <w:pPr>
                    <w:rPr>
                      <w:rFonts w:cs="Arial"/>
                      <w:sz w:val="16"/>
                      <w:szCs w:val="16"/>
                    </w:rPr>
                  </w:pPr>
                  <w:r w:rsidRPr="00B61A8D">
                    <w:rPr>
                      <w:rFonts w:cs="Arial"/>
                      <w:sz w:val="16"/>
                      <w:szCs w:val="16"/>
                    </w:rPr>
                    <w:t>ASML Holding N.V. Aandelen op naam EO -,09</w:t>
                  </w:r>
                </w:p>
              </w:tc>
              <w:tc>
                <w:tcPr>
                  <w:tcW w:w="1701" w:type="dxa"/>
                  <w:vAlign w:val="center"/>
                </w:tcPr>
                <w:p w14:paraId="69A67205" w14:textId="420F9133" w:rsidR="00721118" w:rsidRPr="00B61A8D" w:rsidRDefault="00721118" w:rsidP="00721118">
                  <w:pPr>
                    <w:jc w:val="center"/>
                    <w:rPr>
                      <w:rFonts w:eastAsia="Calibri" w:cs="Arial"/>
                      <w:color w:val="000000"/>
                      <w:spacing w:val="-5"/>
                      <w:sz w:val="16"/>
                      <w:szCs w:val="16"/>
                    </w:rPr>
                  </w:pPr>
                  <w:r w:rsidRPr="00957D7E">
                    <w:t>Technologie</w:t>
                  </w:r>
                </w:p>
              </w:tc>
              <w:tc>
                <w:tcPr>
                  <w:tcW w:w="1706" w:type="dxa"/>
                  <w:vAlign w:val="center"/>
                </w:tcPr>
                <w:p w14:paraId="31710D19" w14:textId="7133FBAD" w:rsidR="00721118" w:rsidRPr="00B61A8D" w:rsidRDefault="00721118" w:rsidP="00721118">
                  <w:pPr>
                    <w:jc w:val="center"/>
                    <w:rPr>
                      <w:rFonts w:eastAsia="Calibri" w:cs="Arial"/>
                      <w:color w:val="000000"/>
                      <w:spacing w:val="-5"/>
                      <w:sz w:val="16"/>
                      <w:szCs w:val="16"/>
                    </w:rPr>
                  </w:pPr>
                  <w:r w:rsidRPr="00B61A8D">
                    <w:rPr>
                      <w:rFonts w:cs="Arial"/>
                      <w:sz w:val="16"/>
                      <w:szCs w:val="16"/>
                    </w:rPr>
                    <w:t>0.74%</w:t>
                  </w:r>
                </w:p>
              </w:tc>
              <w:tc>
                <w:tcPr>
                  <w:tcW w:w="1418" w:type="dxa"/>
                  <w:vAlign w:val="center"/>
                </w:tcPr>
                <w:p w14:paraId="59104568" w14:textId="7B137FA7" w:rsidR="00721118" w:rsidRPr="00B61A8D" w:rsidRDefault="00721118" w:rsidP="00721118">
                  <w:pPr>
                    <w:jc w:val="center"/>
                    <w:rPr>
                      <w:rFonts w:eastAsia="Calibri" w:cs="Arial"/>
                      <w:color w:val="000000"/>
                      <w:spacing w:val="-5"/>
                      <w:sz w:val="16"/>
                      <w:szCs w:val="16"/>
                    </w:rPr>
                  </w:pPr>
                  <w:r w:rsidRPr="00B61A8D">
                    <w:rPr>
                      <w:rFonts w:cs="Arial"/>
                      <w:sz w:val="16"/>
                      <w:szCs w:val="16"/>
                    </w:rPr>
                    <w:t>Niederlande</w:t>
                  </w:r>
                </w:p>
              </w:tc>
            </w:tr>
            <w:tr w:rsidR="00721118" w:rsidRPr="00B31CBF" w14:paraId="760D6E7F" w14:textId="77777777" w:rsidTr="00721118">
              <w:tc>
                <w:tcPr>
                  <w:tcW w:w="3000" w:type="dxa"/>
                </w:tcPr>
                <w:p w14:paraId="1B45076F" w14:textId="3F1E419C" w:rsidR="00721118" w:rsidRPr="00B61A8D" w:rsidRDefault="00721118" w:rsidP="00721118">
                  <w:pPr>
                    <w:rPr>
                      <w:rFonts w:cs="Arial"/>
                      <w:sz w:val="16"/>
                      <w:szCs w:val="16"/>
                      <w:lang w:val="en-GB"/>
                    </w:rPr>
                  </w:pPr>
                  <w:r w:rsidRPr="00B61A8D">
                    <w:rPr>
                      <w:rFonts w:cs="Arial"/>
                      <w:sz w:val="16"/>
                      <w:szCs w:val="16"/>
                      <w:lang w:val="en-GB"/>
                    </w:rPr>
                    <w:t>Amgen Inc. Registered Shares DL -,0001</w:t>
                  </w:r>
                </w:p>
              </w:tc>
              <w:tc>
                <w:tcPr>
                  <w:tcW w:w="1701" w:type="dxa"/>
                  <w:vAlign w:val="center"/>
                </w:tcPr>
                <w:p w14:paraId="423AE359" w14:textId="0680F298" w:rsidR="00721118" w:rsidRPr="00B61A8D" w:rsidRDefault="00721118" w:rsidP="00721118">
                  <w:pPr>
                    <w:jc w:val="center"/>
                    <w:rPr>
                      <w:rFonts w:eastAsia="Calibri" w:cs="Arial"/>
                      <w:color w:val="000000"/>
                      <w:spacing w:val="-5"/>
                      <w:sz w:val="16"/>
                      <w:szCs w:val="16"/>
                    </w:rPr>
                  </w:pPr>
                  <w:r w:rsidRPr="00957D7E">
                    <w:t>Gesundheit</w:t>
                  </w:r>
                </w:p>
              </w:tc>
              <w:tc>
                <w:tcPr>
                  <w:tcW w:w="1706" w:type="dxa"/>
                  <w:vAlign w:val="center"/>
                </w:tcPr>
                <w:p w14:paraId="6830A5BF" w14:textId="45AE19FC" w:rsidR="00721118" w:rsidRPr="00B61A8D" w:rsidRDefault="00721118" w:rsidP="00721118">
                  <w:pPr>
                    <w:jc w:val="center"/>
                    <w:rPr>
                      <w:rFonts w:eastAsia="Calibri" w:cs="Arial"/>
                      <w:color w:val="000000"/>
                      <w:spacing w:val="-5"/>
                      <w:sz w:val="16"/>
                      <w:szCs w:val="16"/>
                    </w:rPr>
                  </w:pPr>
                  <w:r w:rsidRPr="00B61A8D">
                    <w:rPr>
                      <w:rFonts w:cs="Arial"/>
                      <w:sz w:val="16"/>
                      <w:szCs w:val="16"/>
                    </w:rPr>
                    <w:t>0.72%</w:t>
                  </w:r>
                </w:p>
              </w:tc>
              <w:tc>
                <w:tcPr>
                  <w:tcW w:w="1418" w:type="dxa"/>
                  <w:vAlign w:val="center"/>
                </w:tcPr>
                <w:p w14:paraId="2D53771D" w14:textId="620BA32D" w:rsidR="00721118" w:rsidRPr="00B61A8D" w:rsidRDefault="00721118" w:rsidP="00721118">
                  <w:pPr>
                    <w:jc w:val="center"/>
                    <w:rPr>
                      <w:rFonts w:eastAsia="Calibri" w:cs="Arial"/>
                      <w:color w:val="000000"/>
                      <w:spacing w:val="-5"/>
                      <w:sz w:val="16"/>
                      <w:szCs w:val="16"/>
                    </w:rPr>
                  </w:pPr>
                  <w:r w:rsidRPr="00B61A8D">
                    <w:rPr>
                      <w:rFonts w:cs="Arial"/>
                      <w:sz w:val="16"/>
                      <w:szCs w:val="16"/>
                    </w:rPr>
                    <w:t>USA</w:t>
                  </w:r>
                </w:p>
              </w:tc>
            </w:tr>
            <w:tr w:rsidR="00721118" w:rsidRPr="00B31CBF" w14:paraId="6AED5C91" w14:textId="77777777" w:rsidTr="00721118">
              <w:tc>
                <w:tcPr>
                  <w:tcW w:w="3000" w:type="dxa"/>
                </w:tcPr>
                <w:p w14:paraId="7C54EB9B" w14:textId="3A983A4A" w:rsidR="00721118" w:rsidRPr="00B61A8D" w:rsidRDefault="00721118" w:rsidP="00721118">
                  <w:pPr>
                    <w:rPr>
                      <w:rFonts w:cs="Arial"/>
                      <w:sz w:val="16"/>
                      <w:szCs w:val="16"/>
                    </w:rPr>
                  </w:pPr>
                  <w:r w:rsidRPr="00B61A8D">
                    <w:rPr>
                      <w:rFonts w:cs="Arial"/>
                      <w:sz w:val="16"/>
                      <w:szCs w:val="16"/>
                    </w:rPr>
                    <w:t>Roche Holding AG Inhaber-Genußscheine o.N.</w:t>
                  </w:r>
                </w:p>
              </w:tc>
              <w:tc>
                <w:tcPr>
                  <w:tcW w:w="1701" w:type="dxa"/>
                  <w:vAlign w:val="center"/>
                </w:tcPr>
                <w:p w14:paraId="60DF81AF" w14:textId="15B301FD" w:rsidR="00721118" w:rsidRPr="00B61A8D" w:rsidRDefault="00721118" w:rsidP="00721118">
                  <w:pPr>
                    <w:jc w:val="center"/>
                    <w:rPr>
                      <w:rFonts w:eastAsia="Calibri" w:cs="Arial"/>
                      <w:color w:val="000000"/>
                      <w:spacing w:val="-5"/>
                      <w:sz w:val="16"/>
                      <w:szCs w:val="16"/>
                    </w:rPr>
                  </w:pPr>
                  <w:r w:rsidRPr="00957D7E">
                    <w:t>Gesundheit</w:t>
                  </w:r>
                </w:p>
              </w:tc>
              <w:tc>
                <w:tcPr>
                  <w:tcW w:w="1706" w:type="dxa"/>
                  <w:vAlign w:val="center"/>
                </w:tcPr>
                <w:p w14:paraId="797EF176" w14:textId="6612C4B4" w:rsidR="00721118" w:rsidRPr="00B61A8D" w:rsidRDefault="00721118" w:rsidP="00721118">
                  <w:pPr>
                    <w:jc w:val="center"/>
                    <w:rPr>
                      <w:rFonts w:eastAsia="Calibri" w:cs="Arial"/>
                      <w:color w:val="000000"/>
                      <w:spacing w:val="-5"/>
                      <w:sz w:val="16"/>
                      <w:szCs w:val="16"/>
                    </w:rPr>
                  </w:pPr>
                  <w:r w:rsidRPr="00B61A8D">
                    <w:rPr>
                      <w:rFonts w:cs="Arial"/>
                      <w:sz w:val="16"/>
                      <w:szCs w:val="16"/>
                    </w:rPr>
                    <w:t>0.62%</w:t>
                  </w:r>
                </w:p>
              </w:tc>
              <w:tc>
                <w:tcPr>
                  <w:tcW w:w="1418" w:type="dxa"/>
                  <w:vAlign w:val="center"/>
                </w:tcPr>
                <w:p w14:paraId="1602225F" w14:textId="0DE52071" w:rsidR="00721118" w:rsidRPr="00B61A8D" w:rsidRDefault="00721118" w:rsidP="00721118">
                  <w:pPr>
                    <w:jc w:val="center"/>
                    <w:rPr>
                      <w:rFonts w:eastAsia="Calibri" w:cs="Arial"/>
                      <w:color w:val="000000"/>
                      <w:spacing w:val="-5"/>
                      <w:sz w:val="16"/>
                      <w:szCs w:val="16"/>
                    </w:rPr>
                  </w:pPr>
                  <w:r w:rsidRPr="00B61A8D">
                    <w:rPr>
                      <w:rFonts w:cs="Arial"/>
                      <w:sz w:val="16"/>
                      <w:szCs w:val="16"/>
                    </w:rPr>
                    <w:t>Schweiz</w:t>
                  </w:r>
                </w:p>
              </w:tc>
            </w:tr>
          </w:tbl>
          <w:p w14:paraId="2F052083" w14:textId="637E8E41" w:rsidR="00FB4811" w:rsidRPr="0077156C" w:rsidRDefault="0077156C">
            <w:pPr>
              <w:tabs>
                <w:tab w:val="left" w:pos="3240"/>
                <w:tab w:val="left" w:pos="4680"/>
                <w:tab w:val="left" w:pos="6624"/>
              </w:tabs>
              <w:spacing w:before="240" w:after="42" w:line="203" w:lineRule="exact"/>
              <w:textAlignment w:val="baseline"/>
              <w:rPr>
                <w:rFonts w:eastAsia="Calibri" w:cs="Arial"/>
                <w:b/>
                <w:color w:val="000000"/>
                <w:sz w:val="18"/>
                <w:szCs w:val="18"/>
                <w:highlight w:val="yellow"/>
              </w:rPr>
            </w:pPr>
            <w:r>
              <w:rPr>
                <w:rFonts w:cs="Arial"/>
                <w:bCs/>
                <w:sz w:val="18"/>
                <w:szCs w:val="18"/>
              </w:rPr>
              <w:t>Für die Berechnung wurde der Mittelwert der Bestände aus den letzten vier Quartalsstichtagen gebildet, ausgehend vom Berichtsstichtag.</w:t>
            </w:r>
          </w:p>
        </w:tc>
      </w:tr>
      <w:tr w:rsidR="00FB4811" w14:paraId="4E04712C" w14:textId="77777777" w:rsidTr="00EA5280">
        <w:trPr>
          <w:trHeight w:val="1109"/>
        </w:trPr>
        <w:tc>
          <w:tcPr>
            <w:tcW w:w="2274" w:type="dxa"/>
            <w:gridSpan w:val="2"/>
            <w:shd w:val="clear" w:color="auto" w:fill="FFFFFF" w:themeFill="background1"/>
          </w:tcPr>
          <w:p w14:paraId="5817C791" w14:textId="77777777" w:rsidR="00FB4811" w:rsidRDefault="00B31CBF">
            <w:pPr>
              <w:tabs>
                <w:tab w:val="left" w:pos="3240"/>
                <w:tab w:val="left" w:pos="4680"/>
                <w:tab w:val="left" w:pos="6624"/>
              </w:tabs>
              <w:spacing w:before="240" w:after="42" w:line="203" w:lineRule="exact"/>
              <w:textAlignment w:val="baseline"/>
              <w:rPr>
                <w:rFonts w:eastAsia="Calibri" w:cs="Arial"/>
                <w:b/>
                <w:i/>
                <w:color w:val="000000"/>
                <w:spacing w:val="-5"/>
                <w:sz w:val="18"/>
                <w:szCs w:val="18"/>
              </w:rPr>
            </w:pPr>
            <w:r>
              <w:rPr>
                <w:rFonts w:cs="Arial"/>
                <w:noProof/>
                <w:sz w:val="18"/>
                <w:szCs w:val="18"/>
              </w:rPr>
              <w:drawing>
                <wp:anchor distT="0" distB="0" distL="114300" distR="114300" simplePos="0" relativeHeight="251730944" behindDoc="0" locked="0" layoutInCell="1" allowOverlap="1" wp14:anchorId="5749C5C3" wp14:editId="5964646E">
                  <wp:simplePos x="0" y="0"/>
                  <wp:positionH relativeFrom="column">
                    <wp:posOffset>-22860</wp:posOffset>
                  </wp:positionH>
                  <wp:positionV relativeFrom="paragraph">
                    <wp:posOffset>-635</wp:posOffset>
                  </wp:positionV>
                  <wp:extent cx="1397000" cy="546735"/>
                  <wp:effectExtent l="0" t="0" r="0"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97000" cy="546735"/>
                          </a:xfrm>
                          <a:prstGeom prst="rect">
                            <a:avLst/>
                          </a:prstGeom>
                        </pic:spPr>
                      </pic:pic>
                    </a:graphicData>
                  </a:graphic>
                </wp:anchor>
              </w:drawing>
            </w:r>
          </w:p>
        </w:tc>
        <w:tc>
          <w:tcPr>
            <w:tcW w:w="8216" w:type="dxa"/>
            <w:shd w:val="clear" w:color="auto" w:fill="auto"/>
          </w:tcPr>
          <w:p w14:paraId="234FF8B1" w14:textId="77777777" w:rsidR="00FB4811" w:rsidRDefault="00B31CBF">
            <w:pPr>
              <w:tabs>
                <w:tab w:val="left" w:pos="3240"/>
                <w:tab w:val="left" w:pos="4680"/>
                <w:tab w:val="left" w:pos="6624"/>
              </w:tabs>
              <w:spacing w:before="240" w:after="42" w:line="203" w:lineRule="exact"/>
              <w:textAlignment w:val="baseline"/>
              <w:rPr>
                <w:rFonts w:eastAsia="Calibri" w:cs="Arial"/>
                <w:b/>
                <w:color w:val="000000"/>
                <w:spacing w:val="-5"/>
                <w:sz w:val="18"/>
                <w:szCs w:val="18"/>
              </w:rPr>
            </w:pPr>
            <w:r>
              <w:rPr>
                <w:rFonts w:eastAsia="Calibri" w:cs="Arial"/>
                <w:b/>
                <w:color w:val="000000"/>
                <w:spacing w:val="-5"/>
                <w:sz w:val="18"/>
                <w:szCs w:val="18"/>
              </w:rPr>
              <w:t>Wie hoch war der Anteil der nachhaltigkeitsbezogenen Investitionen?</w:t>
            </w:r>
          </w:p>
        </w:tc>
      </w:tr>
      <w:tr w:rsidR="00FB4811" w14:paraId="5D129172" w14:textId="77777777" w:rsidTr="00EA5280">
        <w:tc>
          <w:tcPr>
            <w:tcW w:w="2274" w:type="dxa"/>
            <w:gridSpan w:val="2"/>
            <w:shd w:val="clear" w:color="auto" w:fill="FFFFFF" w:themeFill="background1"/>
          </w:tcPr>
          <w:p w14:paraId="1B767AC8" w14:textId="77777777" w:rsidR="00FB4811" w:rsidRDefault="00B31CBF">
            <w:pPr>
              <w:tabs>
                <w:tab w:val="left" w:pos="3240"/>
                <w:tab w:val="left" w:pos="4680"/>
                <w:tab w:val="left" w:pos="6624"/>
              </w:tabs>
              <w:spacing w:before="240" w:after="42" w:line="203" w:lineRule="exact"/>
              <w:textAlignment w:val="baseline"/>
              <w:rPr>
                <w:rFonts w:cs="Arial"/>
                <w:noProof/>
                <w:sz w:val="18"/>
                <w:szCs w:val="18"/>
              </w:rPr>
            </w:pPr>
            <w:r>
              <w:rPr>
                <w:rFonts w:cs="Arial"/>
                <w:noProof/>
                <w:sz w:val="18"/>
                <w:szCs w:val="18"/>
              </w:rPr>
              <w:drawing>
                <wp:anchor distT="0" distB="0" distL="114300" distR="114300" simplePos="0" relativeHeight="251739136" behindDoc="1" locked="0" layoutInCell="1" allowOverlap="1" wp14:anchorId="34C28180" wp14:editId="24EEE830">
                  <wp:simplePos x="0" y="0"/>
                  <wp:positionH relativeFrom="column">
                    <wp:posOffset>1124676</wp:posOffset>
                  </wp:positionH>
                  <wp:positionV relativeFrom="paragraph">
                    <wp:posOffset>545</wp:posOffset>
                  </wp:positionV>
                  <wp:extent cx="245533" cy="203200"/>
                  <wp:effectExtent l="0" t="0" r="2540" b="6350"/>
                  <wp:wrapTight wrapText="bothSides">
                    <wp:wrapPolygon edited="0">
                      <wp:start x="0" y="0"/>
                      <wp:lineTo x="0" y="20250"/>
                      <wp:lineTo x="20145" y="20250"/>
                      <wp:lineTo x="20145"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2B50FD4F" w14:textId="77777777" w:rsidR="00FB4811" w:rsidRDefault="00B31CBF">
            <w:pPr>
              <w:tabs>
                <w:tab w:val="left" w:pos="3240"/>
                <w:tab w:val="left" w:pos="4680"/>
                <w:tab w:val="left" w:pos="6624"/>
              </w:tabs>
              <w:spacing w:after="42" w:line="203" w:lineRule="exact"/>
              <w:textAlignment w:val="baseline"/>
              <w:rPr>
                <w:rFonts w:eastAsia="Calibri" w:cs="Arial"/>
                <w:b/>
                <w:i/>
                <w:color w:val="000000"/>
                <w:spacing w:val="-5"/>
                <w:sz w:val="18"/>
                <w:szCs w:val="18"/>
              </w:rPr>
            </w:pPr>
            <w:r>
              <w:rPr>
                <w:rFonts w:eastAsia="Calibri" w:cs="Arial"/>
                <w:b/>
                <w:i/>
                <w:color w:val="000000"/>
                <w:spacing w:val="-5"/>
                <w:sz w:val="18"/>
                <w:szCs w:val="18"/>
              </w:rPr>
              <w:t>Wie sah die Vermögensallokation aus?</w:t>
            </w:r>
          </w:p>
        </w:tc>
      </w:tr>
      <w:tr w:rsidR="00FB4811" w14:paraId="32AF5283" w14:textId="77777777" w:rsidTr="00EA5280">
        <w:trPr>
          <w:trHeight w:val="3062"/>
        </w:trPr>
        <w:tc>
          <w:tcPr>
            <w:tcW w:w="1702" w:type="dxa"/>
            <w:shd w:val="pct5" w:color="auto" w:fill="auto"/>
          </w:tcPr>
          <w:p w14:paraId="2C62A2C6" w14:textId="1B23688E" w:rsidR="00FB4811" w:rsidRDefault="00B31CBF">
            <w:pPr>
              <w:rPr>
                <w:rFonts w:cs="Arial"/>
                <w:szCs w:val="15"/>
              </w:rPr>
            </w:pPr>
            <w:r>
              <w:rPr>
                <w:rFonts w:cs="Arial"/>
                <w:szCs w:val="15"/>
              </w:rPr>
              <w:t xml:space="preserve">Die </w:t>
            </w:r>
            <w:r>
              <w:rPr>
                <w:rFonts w:cs="Arial"/>
                <w:b/>
                <w:szCs w:val="15"/>
              </w:rPr>
              <w:t>Vermögens</w:t>
            </w:r>
            <w:r w:rsidR="004C0B21">
              <w:rPr>
                <w:rFonts w:cs="Arial"/>
                <w:b/>
                <w:szCs w:val="15"/>
              </w:rPr>
              <w:t>-</w:t>
            </w:r>
            <w:r>
              <w:rPr>
                <w:rFonts w:cs="Arial"/>
                <w:b/>
                <w:szCs w:val="15"/>
              </w:rPr>
              <w:t xml:space="preserve">allokation </w:t>
            </w:r>
            <w:r>
              <w:rPr>
                <w:rFonts w:cs="Arial"/>
                <w:szCs w:val="15"/>
              </w:rPr>
              <w:t>gibt den jeweiligen Anteil der Investitionen in bestimmte Vermögenswerte an.</w:t>
            </w:r>
          </w:p>
        </w:tc>
        <w:tc>
          <w:tcPr>
            <w:tcW w:w="572" w:type="dxa"/>
          </w:tcPr>
          <w:p w14:paraId="5F0B5008" w14:textId="77777777" w:rsidR="00FB4811" w:rsidRDefault="00FB4811">
            <w:pPr>
              <w:tabs>
                <w:tab w:val="left" w:pos="3240"/>
                <w:tab w:val="left" w:pos="4680"/>
                <w:tab w:val="left" w:pos="6624"/>
              </w:tabs>
              <w:spacing w:before="240" w:after="42" w:line="203" w:lineRule="exact"/>
              <w:textAlignment w:val="baseline"/>
              <w:rPr>
                <w:rFonts w:cs="Arial"/>
                <w:noProof/>
                <w:sz w:val="18"/>
                <w:szCs w:val="18"/>
              </w:rPr>
            </w:pPr>
          </w:p>
        </w:tc>
        <w:tc>
          <w:tcPr>
            <w:tcW w:w="8216" w:type="dxa"/>
            <w:shd w:val="clear" w:color="auto" w:fill="auto"/>
          </w:tcPr>
          <w:p w14:paraId="500A3565" w14:textId="53753B27" w:rsidR="00FB4811" w:rsidRDefault="004C0B21">
            <w:pPr>
              <w:tabs>
                <w:tab w:val="left" w:pos="3240"/>
                <w:tab w:val="left" w:pos="4680"/>
                <w:tab w:val="left" w:pos="6624"/>
              </w:tabs>
              <w:spacing w:before="240" w:after="42" w:line="203" w:lineRule="exact"/>
              <w:textAlignment w:val="baseline"/>
              <w:rPr>
                <w:rFonts w:eastAsia="Calibri" w:cs="Arial"/>
                <w:b/>
                <w:i/>
                <w:color w:val="000000"/>
                <w:spacing w:val="-5"/>
                <w:sz w:val="18"/>
                <w:szCs w:val="18"/>
              </w:rPr>
            </w:pPr>
            <w:r>
              <w:rPr>
                <w:rFonts w:cs="Arial"/>
                <w:noProof/>
                <w:sz w:val="18"/>
                <w:szCs w:val="18"/>
              </w:rPr>
              <mc:AlternateContent>
                <mc:Choice Requires="wps">
                  <w:drawing>
                    <wp:anchor distT="0" distB="0" distL="0" distR="0" simplePos="0" relativeHeight="251718656" behindDoc="1" locked="0" layoutInCell="1" allowOverlap="1" wp14:anchorId="4A0C9614" wp14:editId="757FE380">
                      <wp:simplePos x="0" y="0"/>
                      <wp:positionH relativeFrom="page">
                        <wp:posOffset>72390</wp:posOffset>
                      </wp:positionH>
                      <wp:positionV relativeFrom="page">
                        <wp:posOffset>59690</wp:posOffset>
                      </wp:positionV>
                      <wp:extent cx="2922270" cy="250190"/>
                      <wp:effectExtent l="0" t="0" r="11430" b="1651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31AE" w14:textId="77777777" w:rsidR="00FB4811" w:rsidRDefault="00FB4811">
                                  <w:pPr>
                                    <w:spacing w:before="20" w:line="179" w:lineRule="exact"/>
                                    <w:textAlignment w:val="baseline"/>
                                    <w:rPr>
                                      <w:rFonts w:ascii="Calibri" w:eastAsia="Calibri" w:hAnsi="Calibri"/>
                                      <w:i/>
                                      <w:color w:val="C00000"/>
                                      <w:spacing w:val="-1"/>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9614" id="_x0000_t202" coordsize="21600,21600" o:spt="202" path="m,l,21600r21600,l21600,xe">
                      <v:stroke joinstyle="miter"/>
                      <v:path gradientshapeok="t" o:connecttype="rect"/>
                    </v:shapetype>
                    <v:shape id="Textfeld 8" o:spid="_x0000_s1026" type="#_x0000_t202" style="position:absolute;margin-left:5.7pt;margin-top:4.7pt;width:230.1pt;height:19.7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" filled="f" stroked="f">
                      <v:textbox inset="0,0,0,0">
                        <w:txbxContent>
                          <w:p w14:paraId="543B31AE" w14:textId="77777777" w:rsidR="00FB4811" w:rsidRDefault="00FB4811">
                            <w:pPr>
                              <w:spacing w:before="20" w:line="179" w:lineRule="exact"/>
                              <w:textAlignment w:val="baseline"/>
                              <w:rPr>
                                <w:rFonts w:ascii="Calibri" w:eastAsia="Calibri" w:hAnsi="Calibri"/>
                                <w:i/>
                                <w:color w:val="C00000"/>
                                <w:spacing w:val="-1"/>
                                <w:sz w:val="18"/>
                              </w:rPr>
                            </w:pPr>
                          </w:p>
                        </w:txbxContent>
                      </v:textbox>
                      <w10:wrap type="square" anchorx="page" anchory="page"/>
                    </v:shape>
                  </w:pict>
                </mc:Fallback>
              </mc:AlternateContent>
            </w:r>
            <w:r w:rsidR="00B31CBF">
              <w:rPr>
                <w:rFonts w:cs="Arial"/>
                <w:noProof/>
                <w:sz w:val="18"/>
                <w:szCs w:val="18"/>
              </w:rPr>
              <w:drawing>
                <wp:anchor distT="0" distB="0" distL="114300" distR="114300" simplePos="0" relativeHeight="251717632" behindDoc="1" locked="0" layoutInCell="1" allowOverlap="1" wp14:anchorId="7C4E475C" wp14:editId="3A454009">
                  <wp:simplePos x="0" y="0"/>
                  <wp:positionH relativeFrom="column">
                    <wp:posOffset>-49329</wp:posOffset>
                  </wp:positionH>
                  <wp:positionV relativeFrom="paragraph">
                    <wp:posOffset>18983</wp:posOffset>
                  </wp:positionV>
                  <wp:extent cx="5161547" cy="1910080"/>
                  <wp:effectExtent l="0" t="0" r="1270" b="0"/>
                  <wp:wrapNone/>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FB4811" w14:paraId="1DA14898" w14:textId="77777777" w:rsidTr="00EA5280">
        <w:trPr>
          <w:trHeight w:val="3511"/>
        </w:trPr>
        <w:tc>
          <w:tcPr>
            <w:tcW w:w="1702" w:type="dxa"/>
            <w:shd w:val="pct5" w:color="auto" w:fill="auto"/>
          </w:tcPr>
          <w:p w14:paraId="0AFD37DF" w14:textId="43357160" w:rsidR="00FB4811" w:rsidRDefault="00B31CBF">
            <w:pPr>
              <w:rPr>
                <w:rFonts w:cs="Arial"/>
                <w:szCs w:val="15"/>
              </w:rPr>
            </w:pPr>
            <w:r>
              <w:rPr>
                <w:rFonts w:cs="Arial"/>
                <w:szCs w:val="15"/>
              </w:rPr>
              <w:lastRenderedPageBreak/>
              <w:t>Mit Blick auf die EU-Taxonomie</w:t>
            </w:r>
            <w:r>
              <w:rPr>
                <w:rFonts w:cs="Arial"/>
                <w:szCs w:val="15"/>
              </w:rPr>
              <w:softHyphen/>
              <w:t xml:space="preserve">konformität umfassen die Kriterien für </w:t>
            </w:r>
            <w:r>
              <w:rPr>
                <w:rFonts w:cs="Arial"/>
                <w:b/>
                <w:szCs w:val="15"/>
              </w:rPr>
              <w:t xml:space="preserve">fossiles Gas </w:t>
            </w:r>
            <w:r>
              <w:rPr>
                <w:rFonts w:cs="Arial"/>
                <w:szCs w:val="15"/>
              </w:rPr>
              <w:t xml:space="preserve">die Begrenzung der Emissionen und die Umstellung auf voll erneuerbare Energie oder CO2-arme Kraftstoffe bis Ende 2035. Die Kriterien für </w:t>
            </w:r>
            <w:r>
              <w:rPr>
                <w:rFonts w:cs="Arial"/>
                <w:b/>
                <w:szCs w:val="15"/>
              </w:rPr>
              <w:t xml:space="preserve">Kernenergie </w:t>
            </w:r>
            <w:r>
              <w:rPr>
                <w:rFonts w:cs="Arial"/>
                <w:szCs w:val="15"/>
              </w:rPr>
              <w:t>beinhalten umfassende Sicherheits-</w:t>
            </w:r>
            <w:r w:rsidR="00D4263E">
              <w:rPr>
                <w:rFonts w:cs="Arial"/>
                <w:szCs w:val="15"/>
              </w:rPr>
              <w:t xml:space="preserve"> </w:t>
            </w:r>
            <w:r>
              <w:rPr>
                <w:rFonts w:cs="Arial"/>
                <w:szCs w:val="15"/>
              </w:rPr>
              <w:t>und Abfallentsorgungs-vorschriften.</w:t>
            </w:r>
          </w:p>
        </w:tc>
        <w:tc>
          <w:tcPr>
            <w:tcW w:w="572" w:type="dxa"/>
          </w:tcPr>
          <w:p w14:paraId="2F55160B" w14:textId="77777777" w:rsidR="00FB4811" w:rsidRDefault="00FB4811">
            <w:pPr>
              <w:tabs>
                <w:tab w:val="left" w:pos="3240"/>
                <w:tab w:val="left" w:pos="4680"/>
                <w:tab w:val="left" w:pos="6624"/>
              </w:tabs>
              <w:spacing w:before="240" w:after="42" w:line="203" w:lineRule="exact"/>
              <w:textAlignment w:val="baseline"/>
              <w:rPr>
                <w:rFonts w:cs="Arial"/>
                <w:noProof/>
                <w:sz w:val="18"/>
                <w:szCs w:val="18"/>
              </w:rPr>
            </w:pPr>
          </w:p>
        </w:tc>
        <w:tc>
          <w:tcPr>
            <w:tcW w:w="8216" w:type="dxa"/>
            <w:shd w:val="clear" w:color="auto" w:fill="FBE4D5" w:themeFill="accent2" w:themeFillTint="33"/>
          </w:tcPr>
          <w:p w14:paraId="6E3B6807" w14:textId="77777777" w:rsidR="00FB4811" w:rsidRPr="00C34383" w:rsidRDefault="00B31CBF">
            <w:pPr>
              <w:tabs>
                <w:tab w:val="left" w:pos="3240"/>
                <w:tab w:val="left" w:pos="4680"/>
                <w:tab w:val="left" w:pos="6624"/>
              </w:tabs>
              <w:spacing w:before="240" w:after="42" w:line="203" w:lineRule="exact"/>
              <w:textAlignment w:val="baseline"/>
              <w:rPr>
                <w:rFonts w:cs="Arial"/>
                <w:b/>
                <w:noProof/>
                <w:sz w:val="18"/>
                <w:szCs w:val="18"/>
              </w:rPr>
            </w:pPr>
            <w:r w:rsidRPr="00C34383">
              <w:rPr>
                <w:rFonts w:cs="Arial"/>
                <w:b/>
                <w:noProof/>
                <w:sz w:val="18"/>
                <w:szCs w:val="18"/>
              </w:rPr>
              <w:t xml:space="preserve">#1 Ausgerichtet auf ökologische oder soziale Merkmale </w:t>
            </w:r>
            <w:r w:rsidRPr="00C34383">
              <w:rPr>
                <w:rFonts w:cs="Arial"/>
                <w:noProof/>
                <w:sz w:val="18"/>
                <w:szCs w:val="18"/>
              </w:rPr>
              <w:t>umfasst Investitionen des Finanzprodukts, die zur Erreichung der beworbenen ökologischen oder sozialen Merkmale getätigt wurden.</w:t>
            </w:r>
          </w:p>
          <w:p w14:paraId="7812D20B" w14:textId="77777777" w:rsidR="00FB4811" w:rsidRPr="00C34383" w:rsidRDefault="00B31CBF">
            <w:pPr>
              <w:tabs>
                <w:tab w:val="left" w:pos="3240"/>
                <w:tab w:val="left" w:pos="4680"/>
                <w:tab w:val="left" w:pos="6624"/>
              </w:tabs>
              <w:spacing w:before="120" w:after="42" w:line="203" w:lineRule="exact"/>
              <w:textAlignment w:val="baseline"/>
              <w:rPr>
                <w:rFonts w:cs="Arial"/>
                <w:b/>
                <w:noProof/>
                <w:sz w:val="18"/>
                <w:szCs w:val="18"/>
              </w:rPr>
            </w:pPr>
            <w:r w:rsidRPr="00C34383">
              <w:rPr>
                <w:rFonts w:cs="Arial"/>
                <w:b/>
                <w:noProof/>
                <w:sz w:val="18"/>
                <w:szCs w:val="18"/>
              </w:rPr>
              <w:t xml:space="preserve">#2 Andere Investitionen </w:t>
            </w:r>
            <w:r w:rsidRPr="00C34383">
              <w:rPr>
                <w:rFonts w:cs="Arial"/>
                <w:noProof/>
                <w:sz w:val="18"/>
                <w:szCs w:val="18"/>
              </w:rPr>
              <w:t>umfasst die übrigen Investitionen des Finanzprodukts, die weder auf ökologische oder soziale Merkmale ausgerichtet sind noch als nachhaltige Investitionen eingestuft werden.</w:t>
            </w:r>
          </w:p>
          <w:p w14:paraId="0510F9CB" w14:textId="77777777" w:rsidR="00FB4811" w:rsidRPr="00C34383" w:rsidRDefault="00B31CBF">
            <w:pPr>
              <w:tabs>
                <w:tab w:val="left" w:pos="3240"/>
                <w:tab w:val="left" w:pos="4680"/>
                <w:tab w:val="left" w:pos="6624"/>
              </w:tabs>
              <w:spacing w:after="42" w:line="203" w:lineRule="exact"/>
              <w:textAlignment w:val="baseline"/>
              <w:rPr>
                <w:rFonts w:cs="Arial"/>
                <w:noProof/>
                <w:sz w:val="18"/>
                <w:szCs w:val="18"/>
              </w:rPr>
            </w:pPr>
            <w:r w:rsidRPr="00C34383">
              <w:rPr>
                <w:rFonts w:cs="Arial"/>
                <w:noProof/>
                <w:sz w:val="18"/>
                <w:szCs w:val="18"/>
              </w:rPr>
              <w:t>Die Kategorie #1 Ausgerichtet auf ökologische oder soziale Merkmale umfasst folgende Unterkategorien:</w:t>
            </w:r>
          </w:p>
          <w:p w14:paraId="774B95B8" w14:textId="77777777" w:rsidR="00FB4811" w:rsidRPr="00C34383" w:rsidRDefault="00B31CBF">
            <w:pPr>
              <w:tabs>
                <w:tab w:val="left" w:pos="3240"/>
                <w:tab w:val="left" w:pos="4680"/>
                <w:tab w:val="left" w:pos="6624"/>
              </w:tabs>
              <w:spacing w:after="42" w:line="203" w:lineRule="exact"/>
              <w:textAlignment w:val="baseline"/>
              <w:rPr>
                <w:rFonts w:cs="Arial"/>
                <w:noProof/>
                <w:sz w:val="18"/>
                <w:szCs w:val="18"/>
              </w:rPr>
            </w:pPr>
            <w:r w:rsidRPr="00C34383">
              <w:rPr>
                <w:rFonts w:cs="Arial"/>
                <w:noProof/>
                <w:sz w:val="18"/>
                <w:szCs w:val="18"/>
              </w:rPr>
              <w:t xml:space="preserve">- Die Unterkategorie </w:t>
            </w:r>
            <w:r w:rsidRPr="00C34383">
              <w:rPr>
                <w:rFonts w:cs="Arial"/>
                <w:b/>
                <w:noProof/>
                <w:sz w:val="18"/>
                <w:szCs w:val="18"/>
              </w:rPr>
              <w:t xml:space="preserve">#1A Nachhaltige Investitionen </w:t>
            </w:r>
            <w:r w:rsidRPr="00C34383">
              <w:rPr>
                <w:rFonts w:cs="Arial"/>
                <w:noProof/>
                <w:sz w:val="18"/>
                <w:szCs w:val="18"/>
              </w:rPr>
              <w:t>umfasst ökologisch und sozial nachhaltige Investitionen.</w:t>
            </w:r>
          </w:p>
          <w:p w14:paraId="29BB9DCB" w14:textId="77777777" w:rsidR="00FB4811" w:rsidRDefault="00B31CBF">
            <w:pPr>
              <w:tabs>
                <w:tab w:val="left" w:pos="3240"/>
                <w:tab w:val="left" w:pos="4680"/>
                <w:tab w:val="left" w:pos="6624"/>
              </w:tabs>
              <w:spacing w:before="120" w:after="42" w:line="203" w:lineRule="exact"/>
              <w:textAlignment w:val="baseline"/>
              <w:rPr>
                <w:rFonts w:cs="Arial"/>
                <w:noProof/>
                <w:sz w:val="18"/>
                <w:szCs w:val="18"/>
              </w:rPr>
            </w:pPr>
            <w:r w:rsidRPr="00C34383">
              <w:rPr>
                <w:rFonts w:cs="Arial"/>
                <w:noProof/>
                <w:sz w:val="18"/>
                <w:szCs w:val="18"/>
              </w:rPr>
              <w:t xml:space="preserve">- Die Unterkategorie </w:t>
            </w:r>
            <w:r w:rsidRPr="00C34383">
              <w:rPr>
                <w:rFonts w:cs="Arial"/>
                <w:b/>
                <w:noProof/>
                <w:sz w:val="18"/>
                <w:szCs w:val="18"/>
              </w:rPr>
              <w:t xml:space="preserve">#1B Andere ökologische oder soziale Merkmale </w:t>
            </w:r>
            <w:r w:rsidRPr="00C34383">
              <w:rPr>
                <w:rFonts w:cs="Arial"/>
                <w:noProof/>
                <w:sz w:val="18"/>
                <w:szCs w:val="18"/>
              </w:rPr>
              <w:t>umfasst Investitionen, die auf ökologische oder soziale Merkmale ausgerichtet sind, aber nicht als nachhaltige Investitionen eingestuft werden.</w:t>
            </w:r>
          </w:p>
        </w:tc>
      </w:tr>
      <w:tr w:rsidR="00FB4811" w14:paraId="2D50FAA6" w14:textId="77777777" w:rsidTr="00EA5280">
        <w:trPr>
          <w:trHeight w:hRule="exact" w:val="13194"/>
        </w:trPr>
        <w:tc>
          <w:tcPr>
            <w:tcW w:w="1702" w:type="dxa"/>
            <w:shd w:val="pct5" w:color="auto" w:fill="auto"/>
          </w:tcPr>
          <w:p w14:paraId="4F6AAC82" w14:textId="77777777" w:rsidR="00FB4811" w:rsidRDefault="00FB4811">
            <w:pPr>
              <w:spacing w:before="240"/>
              <w:rPr>
                <w:rFonts w:cs="Arial"/>
                <w:b/>
                <w:szCs w:val="15"/>
              </w:rPr>
            </w:pPr>
          </w:p>
          <w:p w14:paraId="222AF0D9" w14:textId="77777777" w:rsidR="00D4263E" w:rsidRDefault="00D4263E">
            <w:pPr>
              <w:spacing w:before="240"/>
              <w:rPr>
                <w:rFonts w:cs="Arial"/>
                <w:b/>
                <w:szCs w:val="15"/>
              </w:rPr>
            </w:pPr>
          </w:p>
          <w:p w14:paraId="48F2E267" w14:textId="77777777" w:rsidR="00D4263E" w:rsidRDefault="00D4263E">
            <w:pPr>
              <w:spacing w:before="240"/>
              <w:rPr>
                <w:rFonts w:cs="Arial"/>
                <w:b/>
                <w:szCs w:val="15"/>
              </w:rPr>
            </w:pPr>
          </w:p>
          <w:p w14:paraId="5EF9D30A" w14:textId="77777777" w:rsidR="00D4263E" w:rsidRDefault="00D4263E">
            <w:pPr>
              <w:spacing w:before="240"/>
              <w:rPr>
                <w:rFonts w:cs="Arial"/>
                <w:b/>
                <w:szCs w:val="15"/>
              </w:rPr>
            </w:pPr>
          </w:p>
          <w:p w14:paraId="049AC40A" w14:textId="77777777" w:rsidR="00D4263E" w:rsidRDefault="00D4263E">
            <w:pPr>
              <w:spacing w:before="240"/>
              <w:rPr>
                <w:rFonts w:cs="Arial"/>
                <w:b/>
                <w:szCs w:val="15"/>
              </w:rPr>
            </w:pPr>
          </w:p>
          <w:p w14:paraId="29A41095" w14:textId="77777777" w:rsidR="00D4263E" w:rsidRDefault="00D4263E">
            <w:pPr>
              <w:spacing w:before="240"/>
              <w:rPr>
                <w:rFonts w:cs="Arial"/>
                <w:b/>
                <w:szCs w:val="15"/>
              </w:rPr>
            </w:pPr>
          </w:p>
          <w:p w14:paraId="706D6E97" w14:textId="77777777" w:rsidR="00D4263E" w:rsidRDefault="00D4263E">
            <w:pPr>
              <w:spacing w:before="240"/>
              <w:rPr>
                <w:rFonts w:cs="Arial"/>
                <w:b/>
                <w:szCs w:val="15"/>
              </w:rPr>
            </w:pPr>
          </w:p>
          <w:p w14:paraId="63E8221B" w14:textId="77777777" w:rsidR="00D4263E" w:rsidRDefault="00D4263E">
            <w:pPr>
              <w:spacing w:before="240"/>
              <w:rPr>
                <w:rFonts w:cs="Arial"/>
                <w:b/>
                <w:szCs w:val="15"/>
              </w:rPr>
            </w:pPr>
          </w:p>
          <w:p w14:paraId="272FC09A" w14:textId="77777777" w:rsidR="00D4263E" w:rsidRDefault="00D4263E">
            <w:pPr>
              <w:spacing w:before="240"/>
              <w:rPr>
                <w:rFonts w:cs="Arial"/>
                <w:b/>
                <w:szCs w:val="15"/>
              </w:rPr>
            </w:pPr>
          </w:p>
          <w:p w14:paraId="0EAA0BF7" w14:textId="77777777" w:rsidR="00D4263E" w:rsidRDefault="00D4263E">
            <w:pPr>
              <w:spacing w:before="240"/>
              <w:rPr>
                <w:rFonts w:cs="Arial"/>
                <w:b/>
                <w:szCs w:val="15"/>
              </w:rPr>
            </w:pPr>
          </w:p>
          <w:p w14:paraId="229082AA" w14:textId="77777777" w:rsidR="00D4263E" w:rsidRDefault="00D4263E">
            <w:pPr>
              <w:spacing w:before="240"/>
              <w:rPr>
                <w:rFonts w:cs="Arial"/>
                <w:b/>
                <w:szCs w:val="15"/>
              </w:rPr>
            </w:pPr>
          </w:p>
          <w:p w14:paraId="78F78214" w14:textId="77777777" w:rsidR="00D4263E" w:rsidRDefault="00D4263E">
            <w:pPr>
              <w:spacing w:before="240"/>
              <w:rPr>
                <w:rFonts w:cs="Arial"/>
                <w:b/>
                <w:szCs w:val="15"/>
              </w:rPr>
            </w:pPr>
          </w:p>
          <w:p w14:paraId="03F7B842" w14:textId="77777777" w:rsidR="00D4263E" w:rsidRDefault="00D4263E">
            <w:pPr>
              <w:spacing w:before="240"/>
              <w:rPr>
                <w:rFonts w:cs="Arial"/>
                <w:b/>
                <w:szCs w:val="15"/>
              </w:rPr>
            </w:pPr>
          </w:p>
          <w:p w14:paraId="13E0F4A7" w14:textId="77777777" w:rsidR="00D4263E" w:rsidRDefault="00D4263E">
            <w:pPr>
              <w:spacing w:before="240"/>
              <w:rPr>
                <w:rFonts w:cs="Arial"/>
                <w:b/>
                <w:szCs w:val="15"/>
              </w:rPr>
            </w:pPr>
          </w:p>
          <w:p w14:paraId="4A68E765" w14:textId="77777777" w:rsidR="00FB4811" w:rsidRDefault="00FB4811">
            <w:pPr>
              <w:spacing w:before="240"/>
              <w:rPr>
                <w:rFonts w:cs="Arial"/>
                <w:b/>
                <w:szCs w:val="15"/>
              </w:rPr>
            </w:pPr>
          </w:p>
          <w:p w14:paraId="3581E44F" w14:textId="26B00217" w:rsidR="00FB4811" w:rsidRDefault="00643673">
            <w:pPr>
              <w:spacing w:before="240"/>
              <w:rPr>
                <w:rFonts w:cs="Arial"/>
                <w:szCs w:val="15"/>
              </w:rPr>
            </w:pPr>
            <w:r>
              <w:rPr>
                <w:rFonts w:cs="Arial"/>
                <w:noProof/>
                <w:sz w:val="18"/>
                <w:szCs w:val="18"/>
              </w:rPr>
              <w:drawing>
                <wp:anchor distT="0" distB="0" distL="114300" distR="114300" simplePos="0" relativeHeight="251723776" behindDoc="0" locked="0" layoutInCell="1" allowOverlap="1" wp14:anchorId="248882E3" wp14:editId="48E3F2F8">
                  <wp:simplePos x="0" y="0"/>
                  <wp:positionH relativeFrom="column">
                    <wp:posOffset>1011555</wp:posOffset>
                  </wp:positionH>
                  <wp:positionV relativeFrom="paragraph">
                    <wp:posOffset>834694</wp:posOffset>
                  </wp:positionV>
                  <wp:extent cx="359410" cy="359410"/>
                  <wp:effectExtent l="0" t="0" r="2540" b="254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00B31CBF">
              <w:rPr>
                <w:rFonts w:cs="Arial"/>
                <w:b/>
                <w:szCs w:val="15"/>
              </w:rPr>
              <w:t xml:space="preserve">Ermöglichende Tätigkeiten </w:t>
            </w:r>
            <w:r w:rsidR="00B31CBF">
              <w:rPr>
                <w:rFonts w:cs="Arial"/>
                <w:szCs w:val="15"/>
              </w:rPr>
              <w:t>wirken unmittelbar ermöglichend darauf hin, dass andere Tätigkeiten einen wesentlichen Beitrag zu den Umweltzielen leisten.</w:t>
            </w:r>
          </w:p>
          <w:p w14:paraId="532083A3" w14:textId="5F0111C8" w:rsidR="00FB4811" w:rsidRDefault="00FB4811">
            <w:pPr>
              <w:rPr>
                <w:rFonts w:cs="Arial"/>
                <w:b/>
                <w:szCs w:val="15"/>
              </w:rPr>
            </w:pPr>
          </w:p>
          <w:p w14:paraId="2166F55C" w14:textId="45E70351" w:rsidR="00FB4811" w:rsidRDefault="00B31CBF">
            <w:pPr>
              <w:spacing w:before="120"/>
              <w:rPr>
                <w:rFonts w:eastAsia="Calibri" w:cs="Arial"/>
                <w:color w:val="000000"/>
                <w:sz w:val="18"/>
                <w:szCs w:val="18"/>
              </w:rPr>
            </w:pPr>
            <w:r>
              <w:rPr>
                <w:rFonts w:cs="Arial"/>
                <w:b/>
                <w:szCs w:val="15"/>
              </w:rPr>
              <w:t>Übergangs</w:t>
            </w:r>
            <w:r w:rsidR="004C0B21">
              <w:rPr>
                <w:rFonts w:cs="Arial"/>
                <w:b/>
                <w:szCs w:val="15"/>
              </w:rPr>
              <w:t>-</w:t>
            </w:r>
            <w:r>
              <w:rPr>
                <w:rFonts w:cs="Arial"/>
                <w:b/>
                <w:szCs w:val="15"/>
              </w:rPr>
              <w:t xml:space="preserve">tätigkeiten </w:t>
            </w:r>
            <w:r>
              <w:rPr>
                <w:rFonts w:cs="Arial"/>
                <w:szCs w:val="15"/>
              </w:rPr>
              <w:t>sind Tätigkeiten, für die es noch keine CO</w:t>
            </w:r>
            <w:r>
              <w:rPr>
                <w:rFonts w:cs="Arial"/>
                <w:szCs w:val="15"/>
                <w:vertAlign w:val="subscript"/>
              </w:rPr>
              <w:t>2</w:t>
            </w:r>
            <w:r>
              <w:rPr>
                <w:rFonts w:cs="Arial"/>
                <w:szCs w:val="15"/>
              </w:rPr>
              <w:t>-armen Alternativen gibt und die unter anderem Treibhausgasemissionswerte aufweisen, die den besten Leistungen entsprechen.</w:t>
            </w:r>
          </w:p>
        </w:tc>
        <w:tc>
          <w:tcPr>
            <w:tcW w:w="572" w:type="dxa"/>
          </w:tcPr>
          <w:p w14:paraId="05DF888B" w14:textId="69596CCE" w:rsidR="00FB4811" w:rsidRDefault="00B31CBF">
            <w:pPr>
              <w:spacing w:line="216" w:lineRule="exact"/>
              <w:jc w:val="center"/>
              <w:textAlignment w:val="baseline"/>
              <w:rPr>
                <w:rFonts w:eastAsia="Calibri" w:cs="Arial"/>
                <w:b/>
                <w:i/>
                <w:color w:val="000000"/>
                <w:sz w:val="18"/>
                <w:szCs w:val="18"/>
              </w:rPr>
            </w:pPr>
            <w:r>
              <w:rPr>
                <w:rFonts w:cs="Arial"/>
                <w:noProof/>
                <w:sz w:val="18"/>
                <w:szCs w:val="18"/>
              </w:rPr>
              <w:drawing>
                <wp:anchor distT="0" distB="0" distL="114300" distR="114300" simplePos="0" relativeHeight="251741184" behindDoc="1" locked="0" layoutInCell="1" allowOverlap="1" wp14:anchorId="5FC358FD" wp14:editId="48707B93">
                  <wp:simplePos x="0" y="0"/>
                  <wp:positionH relativeFrom="column">
                    <wp:posOffset>27940</wp:posOffset>
                  </wp:positionH>
                  <wp:positionV relativeFrom="paragraph">
                    <wp:posOffset>5771211</wp:posOffset>
                  </wp:positionV>
                  <wp:extent cx="245533" cy="203200"/>
                  <wp:effectExtent l="0" t="0" r="254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8"/>
                <w:szCs w:val="18"/>
              </w:rPr>
              <w:drawing>
                <wp:anchor distT="0" distB="0" distL="114300" distR="114300" simplePos="0" relativeHeight="251729920" behindDoc="1" locked="0" layoutInCell="1" allowOverlap="1" wp14:anchorId="17A21261" wp14:editId="3FA7D3AD">
                  <wp:simplePos x="0" y="0"/>
                  <wp:positionH relativeFrom="column">
                    <wp:posOffset>76745</wp:posOffset>
                  </wp:positionH>
                  <wp:positionV relativeFrom="paragraph">
                    <wp:posOffset>209822</wp:posOffset>
                  </wp:positionV>
                  <wp:extent cx="245533" cy="203200"/>
                  <wp:effectExtent l="0" t="0" r="2540" b="635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6B85DFDC" w14:textId="350C0494" w:rsidR="00FB4811" w:rsidRDefault="00B31CBF">
            <w:pPr>
              <w:tabs>
                <w:tab w:val="left" w:pos="3240"/>
                <w:tab w:val="left" w:pos="4680"/>
                <w:tab w:val="left" w:pos="6624"/>
              </w:tabs>
              <w:spacing w:before="360" w:after="42" w:line="203" w:lineRule="exact"/>
              <w:textAlignment w:val="baseline"/>
              <w:rPr>
                <w:rFonts w:eastAsia="Calibri" w:cs="Arial"/>
                <w:i/>
                <w:color w:val="C00000"/>
                <w:spacing w:val="-1"/>
                <w:sz w:val="18"/>
              </w:rPr>
            </w:pPr>
            <w:r>
              <w:rPr>
                <w:rFonts w:eastAsia="Calibri" w:cs="Arial"/>
                <w:b/>
                <w:i/>
                <w:color w:val="000000"/>
                <w:sz w:val="18"/>
                <w:szCs w:val="18"/>
              </w:rPr>
              <w:t>In welchen Wirtschafts</w:t>
            </w:r>
            <w:r w:rsidR="00092BA1">
              <w:rPr>
                <w:rFonts w:eastAsia="Calibri" w:cs="Arial"/>
                <w:b/>
                <w:i/>
                <w:color w:val="000000"/>
                <w:sz w:val="18"/>
                <w:szCs w:val="18"/>
              </w:rPr>
              <w:t>sektoren</w:t>
            </w:r>
            <w:r>
              <w:rPr>
                <w:rFonts w:eastAsia="Calibri" w:cs="Arial"/>
                <w:b/>
                <w:i/>
                <w:color w:val="000000"/>
                <w:sz w:val="18"/>
                <w:szCs w:val="18"/>
              </w:rPr>
              <w:t xml:space="preserve"> wurden die Investitionen getätigt? </w:t>
            </w:r>
          </w:p>
          <w:p w14:paraId="09E9F0F0" w14:textId="24F98273" w:rsidR="00FB4811" w:rsidRPr="00B31CBF" w:rsidRDefault="00B31CBF">
            <w:pPr>
              <w:tabs>
                <w:tab w:val="left" w:pos="3240"/>
                <w:tab w:val="left" w:pos="4680"/>
                <w:tab w:val="left" w:pos="6624"/>
              </w:tabs>
              <w:spacing w:before="240" w:after="42" w:line="203" w:lineRule="exact"/>
              <w:textAlignment w:val="baseline"/>
              <w:rPr>
                <w:rFonts w:eastAsia="Calibri" w:cs="Arial"/>
                <w:color w:val="000000"/>
                <w:sz w:val="18"/>
                <w:szCs w:val="18"/>
                <w:highlight w:val="yellow"/>
              </w:rPr>
            </w:pPr>
            <w:r w:rsidRPr="00F5286C">
              <w:rPr>
                <w:rFonts w:eastAsia="Calibri" w:cs="Arial"/>
                <w:color w:val="000000"/>
                <w:sz w:val="18"/>
                <w:szCs w:val="18"/>
              </w:rPr>
              <w:t>Auf Basis vorhandener Informationen wies das Anlagekonzept zum Stichtag 31.12.202</w:t>
            </w:r>
            <w:r w:rsidR="00F5286C" w:rsidRPr="00F5286C">
              <w:rPr>
                <w:rFonts w:eastAsia="Calibri" w:cs="Arial"/>
                <w:color w:val="000000"/>
                <w:sz w:val="18"/>
                <w:szCs w:val="18"/>
              </w:rPr>
              <w:t>3</w:t>
            </w:r>
            <w:r w:rsidRPr="00F5286C">
              <w:rPr>
                <w:rFonts w:eastAsia="Calibri" w:cs="Arial"/>
                <w:color w:val="000000"/>
                <w:sz w:val="18"/>
                <w:szCs w:val="18"/>
              </w:rPr>
              <w:t xml:space="preserve"> Investitionen in folgende Sektoren mit absteigender Gewichtung auf:</w:t>
            </w:r>
            <w:r w:rsidR="00F5286C">
              <w:rPr>
                <w:rFonts w:eastAsia="Calibri" w:cs="Arial"/>
                <w:color w:val="000000"/>
                <w:sz w:val="18"/>
                <w:szCs w:val="18"/>
                <w:highlight w:val="yellow"/>
              </w:rPr>
              <w:br/>
            </w:r>
            <w:r w:rsidRPr="00B31CBF">
              <w:rPr>
                <w:rFonts w:eastAsia="Calibri" w:cs="Arial"/>
                <w:color w:val="000000"/>
                <w:sz w:val="18"/>
                <w:szCs w:val="18"/>
                <w:highlight w:val="yellow"/>
              </w:rPr>
              <w:t xml:space="preserve"> </w:t>
            </w:r>
          </w:p>
          <w:tbl>
            <w:tblPr>
              <w:tblStyle w:val="Tabellenraster"/>
              <w:tblW w:w="0" w:type="auto"/>
              <w:tblLayout w:type="fixed"/>
              <w:tblLook w:val="04A0" w:firstRow="1" w:lastRow="0" w:firstColumn="1" w:lastColumn="0" w:noHBand="0" w:noVBand="1"/>
            </w:tblPr>
            <w:tblGrid>
              <w:gridCol w:w="3140"/>
              <w:gridCol w:w="3685"/>
            </w:tblGrid>
            <w:tr w:rsidR="00FB4811" w:rsidRPr="00B31CBF" w14:paraId="7D0BF1B0" w14:textId="77777777" w:rsidTr="004C0B21">
              <w:tc>
                <w:tcPr>
                  <w:tcW w:w="3140" w:type="dxa"/>
                </w:tcPr>
                <w:p w14:paraId="6ECCDDF5" w14:textId="77777777" w:rsidR="00FB4811" w:rsidRPr="004C0B21" w:rsidRDefault="00B31CBF" w:rsidP="004C0B21">
                  <w:pPr>
                    <w:tabs>
                      <w:tab w:val="left" w:pos="3240"/>
                      <w:tab w:val="left" w:pos="4680"/>
                      <w:tab w:val="left" w:pos="6624"/>
                    </w:tabs>
                    <w:spacing w:after="42" w:line="203" w:lineRule="exact"/>
                    <w:jc w:val="center"/>
                    <w:textAlignment w:val="baseline"/>
                    <w:rPr>
                      <w:rFonts w:eastAsia="Calibri" w:cs="Arial"/>
                      <w:b/>
                      <w:color w:val="000000"/>
                      <w:spacing w:val="-5"/>
                      <w:sz w:val="18"/>
                      <w:szCs w:val="18"/>
                    </w:rPr>
                  </w:pPr>
                  <w:r w:rsidRPr="004C0B21">
                    <w:rPr>
                      <w:rFonts w:eastAsia="Calibri" w:cs="Arial"/>
                      <w:b/>
                      <w:color w:val="000000"/>
                      <w:spacing w:val="-5"/>
                      <w:sz w:val="18"/>
                      <w:szCs w:val="18"/>
                    </w:rPr>
                    <w:t>Sektor</w:t>
                  </w:r>
                </w:p>
              </w:tc>
              <w:tc>
                <w:tcPr>
                  <w:tcW w:w="3685" w:type="dxa"/>
                </w:tcPr>
                <w:p w14:paraId="446BF7BD" w14:textId="77777777" w:rsidR="00FB4811" w:rsidRPr="004C0B21" w:rsidRDefault="00B31CBF" w:rsidP="004C0B21">
                  <w:pPr>
                    <w:tabs>
                      <w:tab w:val="left" w:pos="3240"/>
                      <w:tab w:val="left" w:pos="4680"/>
                      <w:tab w:val="left" w:pos="6624"/>
                    </w:tabs>
                    <w:spacing w:after="42" w:line="203" w:lineRule="exact"/>
                    <w:jc w:val="center"/>
                    <w:textAlignment w:val="baseline"/>
                    <w:rPr>
                      <w:rFonts w:eastAsia="Calibri" w:cs="Arial"/>
                      <w:b/>
                      <w:color w:val="000000"/>
                      <w:spacing w:val="-5"/>
                      <w:sz w:val="18"/>
                      <w:szCs w:val="18"/>
                    </w:rPr>
                  </w:pPr>
                  <w:r w:rsidRPr="004C0B21">
                    <w:rPr>
                      <w:rFonts w:eastAsia="Calibri" w:cs="Arial"/>
                      <w:b/>
                      <w:color w:val="000000"/>
                      <w:spacing w:val="-5"/>
                      <w:sz w:val="18"/>
                      <w:szCs w:val="18"/>
                    </w:rPr>
                    <w:t>In % der Vermögenswerte</w:t>
                  </w:r>
                </w:p>
              </w:tc>
            </w:tr>
            <w:tr w:rsidR="00721118" w:rsidRPr="00B31CBF" w14:paraId="23551C6B" w14:textId="77777777" w:rsidTr="00516B20">
              <w:tc>
                <w:tcPr>
                  <w:tcW w:w="3140" w:type="dxa"/>
                </w:tcPr>
                <w:p w14:paraId="4E43D995" w14:textId="25287318" w:rsidR="00721118" w:rsidRPr="004C0B21" w:rsidRDefault="00721118" w:rsidP="00721118">
                  <w:pPr>
                    <w:rPr>
                      <w:rFonts w:eastAsia="Calibri" w:cs="Arial"/>
                      <w:sz w:val="18"/>
                      <w:szCs w:val="18"/>
                    </w:rPr>
                  </w:pPr>
                  <w:r w:rsidRPr="0025061F">
                    <w:t>Technologie</w:t>
                  </w:r>
                </w:p>
              </w:tc>
              <w:tc>
                <w:tcPr>
                  <w:tcW w:w="3685" w:type="dxa"/>
                </w:tcPr>
                <w:p w14:paraId="1BFF11A8" w14:textId="35CB2A7A" w:rsidR="00721118" w:rsidRPr="004C0B21" w:rsidRDefault="00721118" w:rsidP="00721118">
                  <w:pPr>
                    <w:jc w:val="center"/>
                    <w:rPr>
                      <w:rFonts w:eastAsia="Calibri" w:cs="Arial"/>
                      <w:sz w:val="18"/>
                      <w:szCs w:val="18"/>
                    </w:rPr>
                  </w:pPr>
                  <w:r w:rsidRPr="0025061F">
                    <w:t>18.33%</w:t>
                  </w:r>
                </w:p>
              </w:tc>
            </w:tr>
            <w:tr w:rsidR="00721118" w:rsidRPr="00B31CBF" w14:paraId="43DC677D" w14:textId="77777777" w:rsidTr="00516B20">
              <w:tc>
                <w:tcPr>
                  <w:tcW w:w="3140" w:type="dxa"/>
                </w:tcPr>
                <w:p w14:paraId="13300C2A" w14:textId="25C62121" w:rsidR="00721118" w:rsidRPr="004C0B21" w:rsidRDefault="00721118" w:rsidP="00721118">
                  <w:pPr>
                    <w:rPr>
                      <w:rFonts w:eastAsia="Calibri" w:cs="Arial"/>
                      <w:sz w:val="18"/>
                      <w:szCs w:val="18"/>
                    </w:rPr>
                  </w:pPr>
                  <w:r w:rsidRPr="0025061F">
                    <w:t>Gesundheit</w:t>
                  </w:r>
                </w:p>
              </w:tc>
              <w:tc>
                <w:tcPr>
                  <w:tcW w:w="3685" w:type="dxa"/>
                </w:tcPr>
                <w:p w14:paraId="354F7230" w14:textId="1DCA1735" w:rsidR="00721118" w:rsidRPr="004C0B21" w:rsidRDefault="00721118" w:rsidP="00721118">
                  <w:pPr>
                    <w:jc w:val="center"/>
                    <w:rPr>
                      <w:rFonts w:eastAsia="Calibri" w:cs="Arial"/>
                      <w:sz w:val="18"/>
                      <w:szCs w:val="18"/>
                    </w:rPr>
                  </w:pPr>
                  <w:r w:rsidRPr="0025061F">
                    <w:t>16.37%</w:t>
                  </w:r>
                </w:p>
              </w:tc>
            </w:tr>
            <w:tr w:rsidR="00721118" w:rsidRPr="00B31CBF" w14:paraId="03C658C2" w14:textId="77777777" w:rsidTr="00516B20">
              <w:tc>
                <w:tcPr>
                  <w:tcW w:w="3140" w:type="dxa"/>
                </w:tcPr>
                <w:p w14:paraId="797B0E42" w14:textId="4142DF22" w:rsidR="00721118" w:rsidRPr="004C0B21" w:rsidRDefault="00721118" w:rsidP="00721118">
                  <w:pPr>
                    <w:rPr>
                      <w:rFonts w:eastAsia="Calibri" w:cs="Arial"/>
                      <w:sz w:val="18"/>
                      <w:szCs w:val="18"/>
                    </w:rPr>
                  </w:pPr>
                  <w:r w:rsidRPr="0025061F">
                    <w:t>Industriegüter und Dienstleistungen</w:t>
                  </w:r>
                </w:p>
              </w:tc>
              <w:tc>
                <w:tcPr>
                  <w:tcW w:w="3685" w:type="dxa"/>
                </w:tcPr>
                <w:p w14:paraId="00DEF0BE" w14:textId="16393B07" w:rsidR="00721118" w:rsidRPr="004C0B21" w:rsidRDefault="00721118" w:rsidP="00721118">
                  <w:pPr>
                    <w:jc w:val="center"/>
                    <w:rPr>
                      <w:rFonts w:eastAsia="Calibri" w:cs="Arial"/>
                      <w:sz w:val="18"/>
                      <w:szCs w:val="18"/>
                    </w:rPr>
                  </w:pPr>
                  <w:r w:rsidRPr="0025061F">
                    <w:t>15.58%</w:t>
                  </w:r>
                </w:p>
              </w:tc>
            </w:tr>
            <w:tr w:rsidR="00721118" w:rsidRPr="00B31CBF" w14:paraId="7BA26E37" w14:textId="77777777" w:rsidTr="00516B20">
              <w:tc>
                <w:tcPr>
                  <w:tcW w:w="3140" w:type="dxa"/>
                </w:tcPr>
                <w:p w14:paraId="6B47B2A3" w14:textId="3649339B" w:rsidR="00721118" w:rsidRPr="004C0B21" w:rsidRDefault="00721118" w:rsidP="00721118">
                  <w:pPr>
                    <w:rPr>
                      <w:rFonts w:eastAsia="Calibri" w:cs="Arial"/>
                      <w:sz w:val="18"/>
                      <w:szCs w:val="18"/>
                    </w:rPr>
                  </w:pPr>
                  <w:r w:rsidRPr="0025061F">
                    <w:t>Nahrungsmittel und Getränke</w:t>
                  </w:r>
                </w:p>
              </w:tc>
              <w:tc>
                <w:tcPr>
                  <w:tcW w:w="3685" w:type="dxa"/>
                </w:tcPr>
                <w:p w14:paraId="389D0A57" w14:textId="05B97B59" w:rsidR="00721118" w:rsidRPr="004C0B21" w:rsidRDefault="00721118" w:rsidP="00721118">
                  <w:pPr>
                    <w:jc w:val="center"/>
                    <w:rPr>
                      <w:rFonts w:eastAsia="Calibri" w:cs="Arial"/>
                      <w:sz w:val="18"/>
                      <w:szCs w:val="18"/>
                    </w:rPr>
                  </w:pPr>
                  <w:r w:rsidRPr="0025061F">
                    <w:t>5.36%</w:t>
                  </w:r>
                </w:p>
              </w:tc>
            </w:tr>
            <w:tr w:rsidR="00721118" w:rsidRPr="00B31CBF" w14:paraId="0F27C7F9" w14:textId="77777777" w:rsidTr="00516B20">
              <w:tc>
                <w:tcPr>
                  <w:tcW w:w="3140" w:type="dxa"/>
                </w:tcPr>
                <w:p w14:paraId="216B202E" w14:textId="0405F346" w:rsidR="00721118" w:rsidRPr="004C0B21" w:rsidRDefault="00721118" w:rsidP="00721118">
                  <w:pPr>
                    <w:rPr>
                      <w:rFonts w:eastAsia="Calibri" w:cs="Arial"/>
                      <w:sz w:val="18"/>
                      <w:szCs w:val="18"/>
                    </w:rPr>
                  </w:pPr>
                  <w:r w:rsidRPr="0025061F">
                    <w:t>Versorger</w:t>
                  </w:r>
                </w:p>
              </w:tc>
              <w:tc>
                <w:tcPr>
                  <w:tcW w:w="3685" w:type="dxa"/>
                </w:tcPr>
                <w:p w14:paraId="25BE4347" w14:textId="3BBDE8C0" w:rsidR="00721118" w:rsidRPr="004C0B21" w:rsidRDefault="00721118" w:rsidP="00721118">
                  <w:pPr>
                    <w:jc w:val="center"/>
                    <w:rPr>
                      <w:rFonts w:eastAsia="Calibri" w:cs="Arial"/>
                      <w:sz w:val="18"/>
                      <w:szCs w:val="18"/>
                    </w:rPr>
                  </w:pPr>
                  <w:r w:rsidRPr="0025061F">
                    <w:t>4.66%</w:t>
                  </w:r>
                </w:p>
              </w:tc>
            </w:tr>
            <w:tr w:rsidR="00721118" w:rsidRPr="00B31CBF" w14:paraId="6C38007F" w14:textId="77777777" w:rsidTr="00516B20">
              <w:tc>
                <w:tcPr>
                  <w:tcW w:w="3140" w:type="dxa"/>
                </w:tcPr>
                <w:p w14:paraId="042F5262" w14:textId="59DAED90" w:rsidR="00721118" w:rsidRPr="004C0B21" w:rsidRDefault="00721118" w:rsidP="00721118">
                  <w:pPr>
                    <w:rPr>
                      <w:rFonts w:eastAsia="Calibri" w:cs="Arial"/>
                      <w:sz w:val="18"/>
                      <w:szCs w:val="18"/>
                    </w:rPr>
                  </w:pPr>
                  <w:r w:rsidRPr="0025061F">
                    <w:t>Versicherungen</w:t>
                  </w:r>
                </w:p>
              </w:tc>
              <w:tc>
                <w:tcPr>
                  <w:tcW w:w="3685" w:type="dxa"/>
                </w:tcPr>
                <w:p w14:paraId="2678328D" w14:textId="1591A027" w:rsidR="00721118" w:rsidRPr="004C0B21" w:rsidRDefault="00721118" w:rsidP="00721118">
                  <w:pPr>
                    <w:jc w:val="center"/>
                    <w:rPr>
                      <w:rFonts w:eastAsia="Calibri" w:cs="Arial"/>
                      <w:sz w:val="18"/>
                      <w:szCs w:val="18"/>
                    </w:rPr>
                  </w:pPr>
                  <w:r w:rsidRPr="0025061F">
                    <w:t>4.11%</w:t>
                  </w:r>
                </w:p>
              </w:tc>
            </w:tr>
            <w:tr w:rsidR="00721118" w:rsidRPr="00B31CBF" w14:paraId="52F751B4" w14:textId="77777777" w:rsidTr="00516B20">
              <w:tc>
                <w:tcPr>
                  <w:tcW w:w="3140" w:type="dxa"/>
                </w:tcPr>
                <w:p w14:paraId="3B77E799" w14:textId="02D577CF" w:rsidR="00721118" w:rsidRPr="004C0B21" w:rsidRDefault="00721118" w:rsidP="00721118">
                  <w:pPr>
                    <w:rPr>
                      <w:rFonts w:eastAsia="Calibri" w:cs="Arial"/>
                      <w:sz w:val="18"/>
                      <w:szCs w:val="18"/>
                    </w:rPr>
                  </w:pPr>
                  <w:r w:rsidRPr="0025061F">
                    <w:t>Konsumgüter und Dienstleistungen</w:t>
                  </w:r>
                </w:p>
              </w:tc>
              <w:tc>
                <w:tcPr>
                  <w:tcW w:w="3685" w:type="dxa"/>
                </w:tcPr>
                <w:p w14:paraId="01FC9BF2" w14:textId="127D8925" w:rsidR="00721118" w:rsidRPr="004C0B21" w:rsidRDefault="00721118" w:rsidP="00721118">
                  <w:pPr>
                    <w:jc w:val="center"/>
                    <w:rPr>
                      <w:rFonts w:eastAsia="Calibri" w:cs="Arial"/>
                      <w:sz w:val="18"/>
                      <w:szCs w:val="18"/>
                    </w:rPr>
                  </w:pPr>
                  <w:r w:rsidRPr="0025061F">
                    <w:t>3.86%</w:t>
                  </w:r>
                </w:p>
              </w:tc>
            </w:tr>
            <w:tr w:rsidR="00721118" w:rsidRPr="00B31CBF" w14:paraId="4DE1828B" w14:textId="77777777" w:rsidTr="00516B20">
              <w:tc>
                <w:tcPr>
                  <w:tcW w:w="3140" w:type="dxa"/>
                </w:tcPr>
                <w:p w14:paraId="75064879" w14:textId="1326D89A" w:rsidR="00721118" w:rsidRPr="004C0B21" w:rsidRDefault="00721118" w:rsidP="00721118">
                  <w:pPr>
                    <w:rPr>
                      <w:rFonts w:eastAsia="Calibri" w:cs="Arial"/>
                      <w:sz w:val="18"/>
                      <w:szCs w:val="18"/>
                    </w:rPr>
                  </w:pPr>
                  <w:r w:rsidRPr="0025061F">
                    <w:t>Finanzdienstleistungen</w:t>
                  </w:r>
                </w:p>
              </w:tc>
              <w:tc>
                <w:tcPr>
                  <w:tcW w:w="3685" w:type="dxa"/>
                </w:tcPr>
                <w:p w14:paraId="0D1731E3" w14:textId="26EB54E8" w:rsidR="00721118" w:rsidRPr="004C0B21" w:rsidRDefault="00721118" w:rsidP="00721118">
                  <w:pPr>
                    <w:jc w:val="center"/>
                    <w:rPr>
                      <w:rFonts w:eastAsia="Calibri" w:cs="Arial"/>
                      <w:sz w:val="18"/>
                      <w:szCs w:val="18"/>
                    </w:rPr>
                  </w:pPr>
                  <w:r w:rsidRPr="0025061F">
                    <w:t>3.77%</w:t>
                  </w:r>
                </w:p>
              </w:tc>
            </w:tr>
            <w:tr w:rsidR="00721118" w:rsidRPr="00B31CBF" w14:paraId="008A15D3" w14:textId="77777777" w:rsidTr="00516B20">
              <w:tc>
                <w:tcPr>
                  <w:tcW w:w="3140" w:type="dxa"/>
                </w:tcPr>
                <w:p w14:paraId="5F59E75C" w14:textId="01E3303C" w:rsidR="00721118" w:rsidRPr="004C0B21" w:rsidRDefault="00721118" w:rsidP="00721118">
                  <w:pPr>
                    <w:rPr>
                      <w:rFonts w:eastAsia="Calibri" w:cs="Arial"/>
                      <w:sz w:val="18"/>
                      <w:szCs w:val="18"/>
                    </w:rPr>
                  </w:pPr>
                  <w:r w:rsidRPr="0025061F">
                    <w:t>Einzelhandel</w:t>
                  </w:r>
                </w:p>
              </w:tc>
              <w:tc>
                <w:tcPr>
                  <w:tcW w:w="3685" w:type="dxa"/>
                </w:tcPr>
                <w:p w14:paraId="170D9E99" w14:textId="2FF84D24" w:rsidR="00721118" w:rsidRPr="004C0B21" w:rsidRDefault="00721118" w:rsidP="00721118">
                  <w:pPr>
                    <w:jc w:val="center"/>
                    <w:rPr>
                      <w:rFonts w:eastAsia="Calibri" w:cs="Arial"/>
                      <w:sz w:val="18"/>
                      <w:szCs w:val="18"/>
                    </w:rPr>
                  </w:pPr>
                  <w:r w:rsidRPr="0025061F">
                    <w:t>3.67%</w:t>
                  </w:r>
                </w:p>
              </w:tc>
            </w:tr>
            <w:tr w:rsidR="00721118" w:rsidRPr="00B31CBF" w14:paraId="3D79DA4D" w14:textId="77777777" w:rsidTr="00516B20">
              <w:tc>
                <w:tcPr>
                  <w:tcW w:w="3140" w:type="dxa"/>
                </w:tcPr>
                <w:p w14:paraId="4C73E2A5" w14:textId="10A42CAC" w:rsidR="00721118" w:rsidRPr="004C0B21" w:rsidRDefault="00721118" w:rsidP="00721118">
                  <w:pPr>
                    <w:rPr>
                      <w:rFonts w:eastAsia="Calibri" w:cs="Arial"/>
                      <w:sz w:val="18"/>
                      <w:szCs w:val="18"/>
                    </w:rPr>
                  </w:pPr>
                  <w:r w:rsidRPr="0025061F">
                    <w:t>Chemie</w:t>
                  </w:r>
                </w:p>
              </w:tc>
              <w:tc>
                <w:tcPr>
                  <w:tcW w:w="3685" w:type="dxa"/>
                </w:tcPr>
                <w:p w14:paraId="14CAA71E" w14:textId="47141515" w:rsidR="00721118" w:rsidRPr="004C0B21" w:rsidRDefault="00721118" w:rsidP="00721118">
                  <w:pPr>
                    <w:jc w:val="center"/>
                    <w:rPr>
                      <w:rFonts w:eastAsia="Calibri" w:cs="Arial"/>
                      <w:sz w:val="18"/>
                      <w:szCs w:val="18"/>
                    </w:rPr>
                  </w:pPr>
                  <w:r w:rsidRPr="0025061F">
                    <w:t>3.42%</w:t>
                  </w:r>
                </w:p>
              </w:tc>
            </w:tr>
            <w:tr w:rsidR="00721118" w:rsidRPr="00B31CBF" w14:paraId="2D68B62A" w14:textId="77777777" w:rsidTr="00516B20">
              <w:tc>
                <w:tcPr>
                  <w:tcW w:w="3140" w:type="dxa"/>
                </w:tcPr>
                <w:p w14:paraId="06B8A2DA" w14:textId="1E138180" w:rsidR="00721118" w:rsidRPr="004C0B21" w:rsidRDefault="00721118" w:rsidP="00721118">
                  <w:pPr>
                    <w:rPr>
                      <w:rFonts w:eastAsia="Calibri" w:cs="Arial"/>
                      <w:sz w:val="18"/>
                      <w:szCs w:val="18"/>
                    </w:rPr>
                  </w:pPr>
                  <w:r w:rsidRPr="0025061F">
                    <w:t>Immobilien</w:t>
                  </w:r>
                </w:p>
              </w:tc>
              <w:tc>
                <w:tcPr>
                  <w:tcW w:w="3685" w:type="dxa"/>
                </w:tcPr>
                <w:p w14:paraId="744C47BB" w14:textId="74F3A065" w:rsidR="00721118" w:rsidRPr="004C0B21" w:rsidRDefault="00721118" w:rsidP="00721118">
                  <w:pPr>
                    <w:jc w:val="center"/>
                    <w:rPr>
                      <w:rFonts w:eastAsia="Calibri" w:cs="Arial"/>
                      <w:sz w:val="18"/>
                      <w:szCs w:val="18"/>
                    </w:rPr>
                  </w:pPr>
                  <w:r w:rsidRPr="0025061F">
                    <w:t>3.29%</w:t>
                  </w:r>
                </w:p>
              </w:tc>
            </w:tr>
            <w:tr w:rsidR="00721118" w:rsidRPr="00B31CBF" w14:paraId="6B6B4A2D" w14:textId="77777777" w:rsidTr="00516B20">
              <w:tc>
                <w:tcPr>
                  <w:tcW w:w="3140" w:type="dxa"/>
                </w:tcPr>
                <w:p w14:paraId="25212C05" w14:textId="2DBA4C88" w:rsidR="00721118" w:rsidRPr="004C0B21" w:rsidRDefault="00721118" w:rsidP="00721118">
                  <w:pPr>
                    <w:rPr>
                      <w:rFonts w:eastAsia="Calibri" w:cs="Arial"/>
                      <w:sz w:val="18"/>
                      <w:szCs w:val="18"/>
                    </w:rPr>
                  </w:pPr>
                  <w:r w:rsidRPr="0025061F">
                    <w:t>Banken</w:t>
                  </w:r>
                </w:p>
              </w:tc>
              <w:tc>
                <w:tcPr>
                  <w:tcW w:w="3685" w:type="dxa"/>
                </w:tcPr>
                <w:p w14:paraId="04A28F97" w14:textId="08949159" w:rsidR="00721118" w:rsidRPr="004C0B21" w:rsidRDefault="00721118" w:rsidP="00721118">
                  <w:pPr>
                    <w:jc w:val="center"/>
                    <w:rPr>
                      <w:rFonts w:eastAsia="Calibri" w:cs="Arial"/>
                      <w:sz w:val="18"/>
                      <w:szCs w:val="18"/>
                    </w:rPr>
                  </w:pPr>
                  <w:r w:rsidRPr="0025061F">
                    <w:t>2.98%</w:t>
                  </w:r>
                </w:p>
              </w:tc>
            </w:tr>
            <w:tr w:rsidR="00721118" w:rsidRPr="00B31CBF" w14:paraId="0362EFF8" w14:textId="77777777" w:rsidTr="00516B20">
              <w:tc>
                <w:tcPr>
                  <w:tcW w:w="3140" w:type="dxa"/>
                </w:tcPr>
                <w:p w14:paraId="0E0994A4" w14:textId="6E19B8CE" w:rsidR="00721118" w:rsidRPr="004C0B21" w:rsidRDefault="00721118" w:rsidP="00721118">
                  <w:pPr>
                    <w:rPr>
                      <w:rFonts w:eastAsia="Calibri" w:cs="Arial"/>
                      <w:sz w:val="18"/>
                      <w:szCs w:val="18"/>
                    </w:rPr>
                  </w:pPr>
                  <w:r w:rsidRPr="0025061F">
                    <w:t>Telekommunikation</w:t>
                  </w:r>
                </w:p>
              </w:tc>
              <w:tc>
                <w:tcPr>
                  <w:tcW w:w="3685" w:type="dxa"/>
                </w:tcPr>
                <w:p w14:paraId="20980776" w14:textId="324781CB" w:rsidR="00721118" w:rsidRPr="004C0B21" w:rsidRDefault="00721118" w:rsidP="00721118">
                  <w:pPr>
                    <w:jc w:val="center"/>
                    <w:rPr>
                      <w:rFonts w:eastAsia="Calibri" w:cs="Arial"/>
                      <w:sz w:val="18"/>
                      <w:szCs w:val="18"/>
                    </w:rPr>
                  </w:pPr>
                  <w:r w:rsidRPr="0025061F">
                    <w:t>2.89%</w:t>
                  </w:r>
                </w:p>
              </w:tc>
            </w:tr>
            <w:tr w:rsidR="00721118" w:rsidRPr="00B31CBF" w14:paraId="637F956A" w14:textId="77777777" w:rsidTr="00516B20">
              <w:tc>
                <w:tcPr>
                  <w:tcW w:w="3140" w:type="dxa"/>
                </w:tcPr>
                <w:p w14:paraId="059CB61E" w14:textId="69EDA0FD" w:rsidR="00721118" w:rsidRPr="004C0B21" w:rsidRDefault="00721118" w:rsidP="00721118">
                  <w:pPr>
                    <w:rPr>
                      <w:rFonts w:eastAsia="Calibri" w:cs="Arial"/>
                      <w:sz w:val="18"/>
                      <w:szCs w:val="18"/>
                    </w:rPr>
                  </w:pPr>
                  <w:r w:rsidRPr="0025061F">
                    <w:t>Basisressourcen</w:t>
                  </w:r>
                </w:p>
              </w:tc>
              <w:tc>
                <w:tcPr>
                  <w:tcW w:w="3685" w:type="dxa"/>
                </w:tcPr>
                <w:p w14:paraId="68035923" w14:textId="043E6063" w:rsidR="00721118" w:rsidRPr="004C0B21" w:rsidRDefault="00721118" w:rsidP="00721118">
                  <w:pPr>
                    <w:jc w:val="center"/>
                    <w:rPr>
                      <w:rFonts w:eastAsia="Calibri" w:cs="Arial"/>
                      <w:sz w:val="18"/>
                      <w:szCs w:val="18"/>
                    </w:rPr>
                  </w:pPr>
                  <w:r w:rsidRPr="0025061F">
                    <w:t>2.76%</w:t>
                  </w:r>
                </w:p>
              </w:tc>
            </w:tr>
            <w:tr w:rsidR="00721118" w:rsidRPr="00B31CBF" w14:paraId="23E1FB3F" w14:textId="77777777" w:rsidTr="00516B20">
              <w:tc>
                <w:tcPr>
                  <w:tcW w:w="3140" w:type="dxa"/>
                </w:tcPr>
                <w:p w14:paraId="3093ED75" w14:textId="0AD8368A" w:rsidR="00721118" w:rsidRPr="004C0B21" w:rsidRDefault="00721118" w:rsidP="00721118">
                  <w:pPr>
                    <w:rPr>
                      <w:rFonts w:eastAsia="Calibri" w:cs="Arial"/>
                      <w:sz w:val="18"/>
                      <w:szCs w:val="18"/>
                    </w:rPr>
                  </w:pPr>
                  <w:r w:rsidRPr="0025061F">
                    <w:t>Automobile und Ersatzteile</w:t>
                  </w:r>
                </w:p>
              </w:tc>
              <w:tc>
                <w:tcPr>
                  <w:tcW w:w="3685" w:type="dxa"/>
                </w:tcPr>
                <w:p w14:paraId="36097533" w14:textId="5805D872" w:rsidR="00721118" w:rsidRPr="004C0B21" w:rsidRDefault="00721118" w:rsidP="00721118">
                  <w:pPr>
                    <w:jc w:val="center"/>
                    <w:rPr>
                      <w:rFonts w:eastAsia="Calibri" w:cs="Arial"/>
                      <w:sz w:val="18"/>
                      <w:szCs w:val="18"/>
                    </w:rPr>
                  </w:pPr>
                  <w:r w:rsidRPr="0025061F">
                    <w:t>2.37%</w:t>
                  </w:r>
                </w:p>
              </w:tc>
            </w:tr>
            <w:tr w:rsidR="00721118" w:rsidRPr="00B31CBF" w14:paraId="462D6D49" w14:textId="77777777" w:rsidTr="00516B20">
              <w:tc>
                <w:tcPr>
                  <w:tcW w:w="3140" w:type="dxa"/>
                </w:tcPr>
                <w:p w14:paraId="2F7071EF" w14:textId="7EC094C7" w:rsidR="00721118" w:rsidRPr="004C0B21" w:rsidRDefault="00721118" w:rsidP="00721118">
                  <w:pPr>
                    <w:rPr>
                      <w:rFonts w:eastAsia="Calibri" w:cs="Arial"/>
                      <w:sz w:val="18"/>
                      <w:szCs w:val="18"/>
                    </w:rPr>
                  </w:pPr>
                  <w:r w:rsidRPr="0025061F">
                    <w:t>Energie</w:t>
                  </w:r>
                </w:p>
              </w:tc>
              <w:tc>
                <w:tcPr>
                  <w:tcW w:w="3685" w:type="dxa"/>
                </w:tcPr>
                <w:p w14:paraId="07CFB3B2" w14:textId="7260E2BE" w:rsidR="00721118" w:rsidRPr="004C0B21" w:rsidRDefault="00721118" w:rsidP="00721118">
                  <w:pPr>
                    <w:jc w:val="center"/>
                    <w:rPr>
                      <w:rFonts w:eastAsia="Calibri" w:cs="Arial"/>
                      <w:sz w:val="18"/>
                      <w:szCs w:val="18"/>
                    </w:rPr>
                  </w:pPr>
                  <w:r w:rsidRPr="0025061F">
                    <w:t>2.14%</w:t>
                  </w:r>
                </w:p>
              </w:tc>
            </w:tr>
            <w:tr w:rsidR="00721118" w:rsidRPr="00B31CBF" w14:paraId="7B92D177" w14:textId="77777777" w:rsidTr="00516B20">
              <w:tc>
                <w:tcPr>
                  <w:tcW w:w="3140" w:type="dxa"/>
                </w:tcPr>
                <w:p w14:paraId="22610288" w14:textId="09E79AA6" w:rsidR="00721118" w:rsidRPr="004C0B21" w:rsidRDefault="00721118" w:rsidP="00721118">
                  <w:pPr>
                    <w:rPr>
                      <w:rFonts w:cs="Arial"/>
                      <w:color w:val="000000"/>
                      <w:sz w:val="18"/>
                      <w:szCs w:val="18"/>
                    </w:rPr>
                  </w:pPr>
                  <w:r w:rsidRPr="0025061F">
                    <w:t>Konstruktion und Werkstoffe</w:t>
                  </w:r>
                </w:p>
              </w:tc>
              <w:tc>
                <w:tcPr>
                  <w:tcW w:w="3685" w:type="dxa"/>
                </w:tcPr>
                <w:p w14:paraId="7EAADAA4" w14:textId="15247D17" w:rsidR="00721118" w:rsidRPr="004C0B21" w:rsidRDefault="00721118" w:rsidP="00721118">
                  <w:pPr>
                    <w:jc w:val="center"/>
                    <w:rPr>
                      <w:sz w:val="18"/>
                      <w:szCs w:val="18"/>
                    </w:rPr>
                  </w:pPr>
                  <w:r w:rsidRPr="0025061F">
                    <w:t>2.05%</w:t>
                  </w:r>
                </w:p>
              </w:tc>
            </w:tr>
            <w:tr w:rsidR="00721118" w:rsidRPr="00B31CBF" w14:paraId="0DDB10E6" w14:textId="77777777" w:rsidTr="00516B20">
              <w:tc>
                <w:tcPr>
                  <w:tcW w:w="3140" w:type="dxa"/>
                </w:tcPr>
                <w:p w14:paraId="3D038E7A" w14:textId="33DFAA55" w:rsidR="00721118" w:rsidRPr="004C0B21" w:rsidRDefault="00721118" w:rsidP="00721118">
                  <w:pPr>
                    <w:rPr>
                      <w:rFonts w:cs="Arial"/>
                      <w:color w:val="000000"/>
                      <w:sz w:val="18"/>
                      <w:szCs w:val="18"/>
                    </w:rPr>
                  </w:pPr>
                  <w:r w:rsidRPr="0025061F">
                    <w:t>Medien</w:t>
                  </w:r>
                </w:p>
              </w:tc>
              <w:tc>
                <w:tcPr>
                  <w:tcW w:w="3685" w:type="dxa"/>
                </w:tcPr>
                <w:p w14:paraId="4C7DB6CF" w14:textId="26964397" w:rsidR="00721118" w:rsidRPr="004C0B21" w:rsidRDefault="00721118" w:rsidP="00721118">
                  <w:pPr>
                    <w:jc w:val="center"/>
                    <w:rPr>
                      <w:sz w:val="18"/>
                      <w:szCs w:val="18"/>
                    </w:rPr>
                  </w:pPr>
                  <w:r w:rsidRPr="0025061F">
                    <w:t>1.83%</w:t>
                  </w:r>
                </w:p>
              </w:tc>
            </w:tr>
            <w:tr w:rsidR="00721118" w:rsidRPr="00B31CBF" w14:paraId="1C15B3B9" w14:textId="77777777" w:rsidTr="00516B20">
              <w:tc>
                <w:tcPr>
                  <w:tcW w:w="3140" w:type="dxa"/>
                </w:tcPr>
                <w:p w14:paraId="3DA6B10B" w14:textId="6DABC0FC" w:rsidR="00721118" w:rsidRPr="004C0B21" w:rsidRDefault="00721118" w:rsidP="00721118">
                  <w:pPr>
                    <w:rPr>
                      <w:rFonts w:cs="Arial"/>
                      <w:color w:val="000000"/>
                      <w:sz w:val="18"/>
                      <w:szCs w:val="18"/>
                    </w:rPr>
                  </w:pPr>
                  <w:r w:rsidRPr="0025061F">
                    <w:t>Reise &amp; Freizeit</w:t>
                  </w:r>
                </w:p>
              </w:tc>
              <w:tc>
                <w:tcPr>
                  <w:tcW w:w="3685" w:type="dxa"/>
                </w:tcPr>
                <w:p w14:paraId="3EE2C112" w14:textId="7117682C" w:rsidR="00721118" w:rsidRPr="004C0B21" w:rsidRDefault="00721118" w:rsidP="00721118">
                  <w:pPr>
                    <w:jc w:val="center"/>
                    <w:rPr>
                      <w:sz w:val="18"/>
                      <w:szCs w:val="18"/>
                    </w:rPr>
                  </w:pPr>
                  <w:r w:rsidRPr="0025061F">
                    <w:t>0.13%</w:t>
                  </w:r>
                </w:p>
              </w:tc>
            </w:tr>
            <w:tr w:rsidR="00721118" w:rsidRPr="00B31CBF" w14:paraId="07B48AE8" w14:textId="77777777" w:rsidTr="00516B20">
              <w:tc>
                <w:tcPr>
                  <w:tcW w:w="3140" w:type="dxa"/>
                </w:tcPr>
                <w:p w14:paraId="4AB48901" w14:textId="2A045E17" w:rsidR="00721118" w:rsidRPr="004C0B21" w:rsidRDefault="00721118" w:rsidP="00721118">
                  <w:pPr>
                    <w:rPr>
                      <w:rFonts w:cs="Arial"/>
                      <w:color w:val="000000"/>
                      <w:sz w:val="18"/>
                      <w:szCs w:val="18"/>
                    </w:rPr>
                  </w:pPr>
                  <w:r w:rsidRPr="0025061F">
                    <w:t>Sonstige</w:t>
                  </w:r>
                </w:p>
              </w:tc>
              <w:tc>
                <w:tcPr>
                  <w:tcW w:w="3685" w:type="dxa"/>
                </w:tcPr>
                <w:p w14:paraId="0AF8D949" w14:textId="049A66CF" w:rsidR="00721118" w:rsidRPr="004C0B21" w:rsidRDefault="00721118" w:rsidP="00721118">
                  <w:pPr>
                    <w:jc w:val="center"/>
                    <w:rPr>
                      <w:sz w:val="18"/>
                      <w:szCs w:val="18"/>
                    </w:rPr>
                  </w:pPr>
                  <w:r w:rsidRPr="0025061F">
                    <w:t>0.41%</w:t>
                  </w:r>
                </w:p>
              </w:tc>
            </w:tr>
          </w:tbl>
          <w:p w14:paraId="640ED372" w14:textId="5B6DA49C" w:rsidR="00777A4B" w:rsidRDefault="00777A4B" w:rsidP="00713633">
            <w:pPr>
              <w:spacing w:before="240"/>
              <w:jc w:val="both"/>
              <w:rPr>
                <w:rFonts w:cs="Arial"/>
                <w:bCs/>
                <w:sz w:val="18"/>
                <w:szCs w:val="18"/>
              </w:rPr>
            </w:pPr>
            <w:r w:rsidRPr="008A729A">
              <w:rPr>
                <w:rFonts w:cs="Arial"/>
                <w:bCs/>
                <w:sz w:val="18"/>
                <w:szCs w:val="18"/>
              </w:rPr>
              <w:t>Der Anteil der Investitionen in Sektoren der Wirtschaft, die Einkünfte aus der Exploration, dem</w:t>
            </w:r>
            <w:r>
              <w:rPr>
                <w:rFonts w:cs="Arial"/>
                <w:bCs/>
                <w:sz w:val="18"/>
                <w:szCs w:val="18"/>
              </w:rPr>
              <w:t xml:space="preserve"> </w:t>
            </w:r>
            <w:r w:rsidRPr="008A729A">
              <w:rPr>
                <w:rFonts w:cs="Arial"/>
                <w:bCs/>
                <w:sz w:val="18"/>
                <w:szCs w:val="18"/>
              </w:rPr>
              <w:t>Abbau, der Förderung, der Herstellung, der Verarbeitung, der Lagerung, der Raffination oder dem</w:t>
            </w:r>
            <w:r>
              <w:rPr>
                <w:rFonts w:cs="Arial"/>
                <w:bCs/>
                <w:sz w:val="18"/>
                <w:szCs w:val="18"/>
              </w:rPr>
              <w:t xml:space="preserve"> </w:t>
            </w:r>
            <w:r w:rsidRPr="008A729A">
              <w:rPr>
                <w:rFonts w:cs="Arial"/>
                <w:bCs/>
                <w:sz w:val="18"/>
                <w:szCs w:val="18"/>
              </w:rPr>
              <w:t>Vertrieb, einschließlich Transport, Lagerung und Handel von fossilen Brennstoffen gewinnen, betrug</w:t>
            </w:r>
            <w:r>
              <w:rPr>
                <w:rFonts w:cs="Arial"/>
                <w:bCs/>
                <w:sz w:val="18"/>
                <w:szCs w:val="18"/>
              </w:rPr>
              <w:t xml:space="preserve"> </w:t>
            </w:r>
            <w:r w:rsidRPr="008A729A">
              <w:rPr>
                <w:rFonts w:cs="Arial"/>
                <w:bCs/>
                <w:sz w:val="18"/>
                <w:szCs w:val="18"/>
              </w:rPr>
              <w:t xml:space="preserve">im Berichtszeitraum </w:t>
            </w:r>
            <w:r>
              <w:rPr>
                <w:rFonts w:cs="Arial"/>
                <w:bCs/>
                <w:sz w:val="18"/>
                <w:szCs w:val="18"/>
              </w:rPr>
              <w:t>2,</w:t>
            </w:r>
            <w:r w:rsidR="003D75B4">
              <w:rPr>
                <w:rFonts w:cs="Arial"/>
                <w:bCs/>
                <w:sz w:val="18"/>
                <w:szCs w:val="18"/>
              </w:rPr>
              <w:t>2</w:t>
            </w:r>
            <w:r w:rsidRPr="008A729A">
              <w:rPr>
                <w:rFonts w:cs="Arial"/>
                <w:bCs/>
                <w:sz w:val="18"/>
                <w:szCs w:val="18"/>
              </w:rPr>
              <w:t>%.</w:t>
            </w:r>
          </w:p>
          <w:p w14:paraId="1FF6D426" w14:textId="29D824F7" w:rsidR="004C0B21" w:rsidRDefault="004C0B21" w:rsidP="00713633">
            <w:pPr>
              <w:tabs>
                <w:tab w:val="left" w:pos="3240"/>
                <w:tab w:val="left" w:pos="4680"/>
                <w:tab w:val="left" w:pos="6624"/>
              </w:tabs>
              <w:spacing w:before="360" w:after="42" w:line="203" w:lineRule="exact"/>
              <w:jc w:val="both"/>
              <w:textAlignment w:val="baseline"/>
              <w:rPr>
                <w:rFonts w:eastAsia="Calibri" w:cs="Arial"/>
                <w:b/>
                <w:color w:val="000000"/>
                <w:sz w:val="18"/>
                <w:szCs w:val="18"/>
              </w:rPr>
            </w:pPr>
            <w:r>
              <w:rPr>
                <w:rFonts w:cs="Arial"/>
                <w:bCs/>
                <w:sz w:val="18"/>
                <w:szCs w:val="18"/>
              </w:rPr>
              <w:t>Für die Berechnung wurde der Mittelwert der Bestände aus den letzten vier Quartalsstichtagen gebildet, ausgehend vom Berichtsstichtag.</w:t>
            </w:r>
          </w:p>
          <w:p w14:paraId="72D55428" w14:textId="78AF6930" w:rsidR="00FB4811" w:rsidRPr="00713633" w:rsidRDefault="00B31CBF">
            <w:pPr>
              <w:tabs>
                <w:tab w:val="left" w:pos="3240"/>
                <w:tab w:val="left" w:pos="4680"/>
                <w:tab w:val="left" w:pos="6624"/>
              </w:tabs>
              <w:spacing w:before="360" w:after="42" w:line="203" w:lineRule="exact"/>
              <w:textAlignment w:val="baseline"/>
              <w:rPr>
                <w:rFonts w:eastAsia="Calibri" w:cs="Arial"/>
                <w:i/>
                <w:spacing w:val="-1"/>
                <w:sz w:val="18"/>
              </w:rPr>
            </w:pPr>
            <w:r>
              <w:rPr>
                <w:rFonts w:eastAsia="Calibri" w:cs="Arial"/>
                <w:b/>
                <w:color w:val="000000"/>
                <w:sz w:val="18"/>
                <w:szCs w:val="18"/>
              </w:rPr>
              <w:t xml:space="preserve">Inwiefern waren die nachhaltigen Investitionen mit einem Umweltziel mit der EU-Taxonomie konform? </w:t>
            </w:r>
          </w:p>
          <w:p w14:paraId="708830F6" w14:textId="56A69609" w:rsidR="00C34383" w:rsidRDefault="00C34383" w:rsidP="00713633">
            <w:pPr>
              <w:tabs>
                <w:tab w:val="left" w:pos="3240"/>
                <w:tab w:val="left" w:pos="4680"/>
                <w:tab w:val="left" w:pos="6624"/>
              </w:tabs>
              <w:spacing w:before="360" w:after="42" w:line="203" w:lineRule="exact"/>
              <w:jc w:val="both"/>
              <w:textAlignment w:val="baseline"/>
              <w:rPr>
                <w:rFonts w:eastAsia="Calibri" w:cs="Arial"/>
                <w:b/>
                <w:i/>
                <w:color w:val="000000"/>
                <w:sz w:val="18"/>
                <w:szCs w:val="18"/>
              </w:rPr>
            </w:pPr>
            <w:r w:rsidRPr="00AB1601">
              <w:rPr>
                <w:rFonts w:cs="Arial"/>
                <w:noProof/>
                <w:sz w:val="18"/>
                <w:szCs w:val="18"/>
              </w:rPr>
              <w:t>Der Anteil an Investitionen, die mit einem Umwelt</w:t>
            </w:r>
            <w:r w:rsidR="008E17CD">
              <w:rPr>
                <w:rFonts w:cs="Arial"/>
                <w:noProof/>
                <w:sz w:val="18"/>
                <w:szCs w:val="18"/>
              </w:rPr>
              <w:t>z</w:t>
            </w:r>
            <w:r w:rsidRPr="00AB1601">
              <w:rPr>
                <w:rFonts w:cs="Arial"/>
                <w:noProof/>
                <w:sz w:val="18"/>
                <w:szCs w:val="18"/>
              </w:rPr>
              <w:t>iel der Taxonomie konform sind, betrug zum Stichtag 31.12.2023 0%.</w:t>
            </w:r>
          </w:p>
          <w:p w14:paraId="1332C6EB" w14:textId="77777777" w:rsidR="00FB4811" w:rsidRDefault="00B31CBF">
            <w:pPr>
              <w:tabs>
                <w:tab w:val="left" w:pos="3240"/>
                <w:tab w:val="left" w:pos="4680"/>
                <w:tab w:val="left" w:pos="6624"/>
              </w:tabs>
              <w:spacing w:before="360" w:after="42" w:line="203" w:lineRule="exact"/>
              <w:textAlignment w:val="baseline"/>
              <w:rPr>
                <w:rFonts w:eastAsia="Calibri" w:cs="Arial"/>
                <w:b/>
                <w:color w:val="000000"/>
                <w:sz w:val="18"/>
                <w:szCs w:val="18"/>
              </w:rPr>
            </w:pPr>
            <w:r>
              <w:rPr>
                <w:rFonts w:eastAsia="Calibri" w:cs="Arial"/>
                <w:b/>
                <w:color w:val="000000"/>
                <w:sz w:val="18"/>
                <w:szCs w:val="18"/>
              </w:rPr>
              <w:t>Wurde mit dem Finanzprodukt in EU-taxonomiekonforme Tätigkeiten im Bereich fossiles Gas und/oder Kernenergie investiert'?</w:t>
            </w:r>
          </w:p>
          <w:p w14:paraId="1E05D840" w14:textId="77777777" w:rsidR="00FB4811" w:rsidRPr="00C34383" w:rsidRDefault="00B31CBF">
            <w:pPr>
              <w:tabs>
                <w:tab w:val="left" w:pos="1021"/>
                <w:tab w:val="left" w:pos="4680"/>
              </w:tabs>
              <w:spacing w:before="360" w:after="42" w:line="203" w:lineRule="exact"/>
              <w:textAlignment w:val="baseline"/>
              <w:rPr>
                <w:rFonts w:eastAsia="Calibri" w:cs="Arial"/>
                <w:b/>
                <w:color w:val="000000"/>
                <w:sz w:val="18"/>
                <w:szCs w:val="18"/>
              </w:rPr>
            </w:pPr>
            <w:r>
              <w:rPr>
                <w:rFonts w:eastAsia="Calibri" w:cs="Arial"/>
                <w:b/>
                <w:i/>
                <w:color w:val="000000"/>
                <w:sz w:val="18"/>
                <w:szCs w:val="18"/>
              </w:rPr>
              <w:tab/>
            </w:r>
            <w:sdt>
              <w:sdtPr>
                <w:rPr>
                  <w:rFonts w:eastAsia="Calibri" w:cs="Arial"/>
                  <w:b/>
                  <w:color w:val="000000"/>
                  <w:sz w:val="18"/>
                  <w:szCs w:val="18"/>
                </w:rPr>
                <w:id w:val="980891154"/>
                <w14:checkbox>
                  <w14:checked w14:val="0"/>
                  <w14:checkedState w14:val="2612" w14:font="MS Gothic"/>
                  <w14:uncheckedState w14:val="2610" w14:font="MS Gothic"/>
                </w14:checkbox>
              </w:sdtPr>
              <w:sdtEndPr/>
              <w:sdtContent>
                <w:r w:rsidRPr="00C34383">
                  <w:rPr>
                    <w:rFonts w:ascii="Segoe UI Symbol" w:eastAsia="MS Gothic" w:hAnsi="Segoe UI Symbol" w:cs="Segoe UI Symbol"/>
                    <w:b/>
                    <w:color w:val="000000"/>
                    <w:sz w:val="18"/>
                    <w:szCs w:val="18"/>
                  </w:rPr>
                  <w:t>☐</w:t>
                </w:r>
              </w:sdtContent>
            </w:sdt>
            <w:r w:rsidRPr="00C34383">
              <w:rPr>
                <w:rFonts w:eastAsia="Calibri" w:cs="Arial"/>
                <w:b/>
                <w:color w:val="000000"/>
                <w:sz w:val="18"/>
                <w:szCs w:val="18"/>
              </w:rPr>
              <w:t xml:space="preserve"> Ja:</w:t>
            </w:r>
            <w:r w:rsidRPr="00C34383">
              <w:rPr>
                <w:rFonts w:eastAsia="Calibri" w:cs="Arial"/>
                <w:color w:val="C00000"/>
                <w:spacing w:val="-1"/>
                <w:sz w:val="18"/>
              </w:rPr>
              <w:t xml:space="preserve"> </w:t>
            </w:r>
          </w:p>
          <w:p w14:paraId="6145CF89" w14:textId="77777777" w:rsidR="00FB4811" w:rsidRPr="00C34383" w:rsidRDefault="00B31CBF">
            <w:pPr>
              <w:tabs>
                <w:tab w:val="left" w:pos="1304"/>
                <w:tab w:val="left" w:pos="4680"/>
                <w:tab w:val="left" w:pos="6624"/>
              </w:tabs>
              <w:spacing w:before="120" w:after="42" w:line="203" w:lineRule="exact"/>
              <w:textAlignment w:val="baseline"/>
              <w:rPr>
                <w:rFonts w:eastAsia="Calibri" w:cs="Arial"/>
                <w:b/>
                <w:color w:val="000000"/>
                <w:sz w:val="18"/>
                <w:szCs w:val="18"/>
              </w:rPr>
            </w:pPr>
            <w:r w:rsidRPr="00C34383">
              <w:rPr>
                <w:rFonts w:eastAsia="Calibri" w:cs="Arial"/>
                <w:b/>
                <w:color w:val="000000"/>
                <w:sz w:val="18"/>
                <w:szCs w:val="18"/>
              </w:rPr>
              <w:tab/>
            </w:r>
            <w:sdt>
              <w:sdtPr>
                <w:rPr>
                  <w:rFonts w:eastAsia="Calibri" w:cs="Arial"/>
                  <w:b/>
                  <w:color w:val="000000"/>
                  <w:sz w:val="18"/>
                  <w:szCs w:val="18"/>
                </w:rPr>
                <w:id w:val="1438262237"/>
                <w14:checkbox>
                  <w14:checked w14:val="0"/>
                  <w14:checkedState w14:val="2612" w14:font="MS Gothic"/>
                  <w14:uncheckedState w14:val="2610" w14:font="MS Gothic"/>
                </w14:checkbox>
              </w:sdtPr>
              <w:sdtEndPr/>
              <w:sdtContent>
                <w:r w:rsidRPr="00C34383">
                  <w:rPr>
                    <w:rFonts w:ascii="Segoe UI Symbol" w:eastAsia="MS Gothic" w:hAnsi="Segoe UI Symbol" w:cs="Segoe UI Symbol"/>
                    <w:b/>
                    <w:color w:val="000000"/>
                    <w:sz w:val="18"/>
                    <w:szCs w:val="18"/>
                  </w:rPr>
                  <w:t>☐</w:t>
                </w:r>
              </w:sdtContent>
            </w:sdt>
            <w:r w:rsidRPr="00C34383">
              <w:rPr>
                <w:rFonts w:eastAsia="Calibri" w:cs="Arial"/>
                <w:b/>
                <w:color w:val="000000"/>
                <w:sz w:val="18"/>
                <w:szCs w:val="18"/>
              </w:rPr>
              <w:t xml:space="preserve"> In fossiles Gas</w:t>
            </w:r>
            <w:r w:rsidRPr="00C34383">
              <w:rPr>
                <w:rFonts w:eastAsia="Calibri" w:cs="Arial"/>
                <w:b/>
                <w:color w:val="000000"/>
                <w:sz w:val="18"/>
                <w:szCs w:val="18"/>
              </w:rPr>
              <w:tab/>
            </w:r>
            <w:sdt>
              <w:sdtPr>
                <w:rPr>
                  <w:rFonts w:eastAsia="Calibri" w:cs="Arial"/>
                  <w:b/>
                  <w:color w:val="000000"/>
                  <w:sz w:val="18"/>
                  <w:szCs w:val="18"/>
                </w:rPr>
                <w:id w:val="890305539"/>
                <w14:checkbox>
                  <w14:checked w14:val="0"/>
                  <w14:checkedState w14:val="2612" w14:font="MS Gothic"/>
                  <w14:uncheckedState w14:val="2610" w14:font="MS Gothic"/>
                </w14:checkbox>
              </w:sdtPr>
              <w:sdtEndPr/>
              <w:sdtContent>
                <w:r w:rsidRPr="00C34383">
                  <w:rPr>
                    <w:rFonts w:ascii="Segoe UI Symbol" w:eastAsia="MS Gothic" w:hAnsi="Segoe UI Symbol" w:cs="Segoe UI Symbol"/>
                    <w:b/>
                    <w:color w:val="000000"/>
                    <w:sz w:val="18"/>
                    <w:szCs w:val="18"/>
                  </w:rPr>
                  <w:t>☐</w:t>
                </w:r>
              </w:sdtContent>
            </w:sdt>
            <w:r w:rsidRPr="00C34383">
              <w:rPr>
                <w:rFonts w:eastAsia="Calibri" w:cs="Arial"/>
                <w:b/>
                <w:color w:val="000000"/>
                <w:sz w:val="18"/>
                <w:szCs w:val="18"/>
              </w:rPr>
              <w:t xml:space="preserve"> In Kernenergie</w:t>
            </w:r>
          </w:p>
          <w:p w14:paraId="4E37B520" w14:textId="77777777" w:rsidR="00FB4811" w:rsidRDefault="00BA5789">
            <w:pPr>
              <w:tabs>
                <w:tab w:val="left" w:pos="1162"/>
                <w:tab w:val="left" w:pos="1304"/>
                <w:tab w:val="left" w:pos="6624"/>
              </w:tabs>
              <w:spacing w:after="42" w:line="203" w:lineRule="exact"/>
              <w:ind w:left="1020"/>
              <w:textAlignment w:val="baseline"/>
              <w:rPr>
                <w:rFonts w:eastAsia="Calibri" w:cs="Arial"/>
                <w:b/>
                <w:color w:val="000000"/>
                <w:sz w:val="18"/>
                <w:szCs w:val="18"/>
              </w:rPr>
            </w:pPr>
            <w:sdt>
              <w:sdtPr>
                <w:rPr>
                  <w:rFonts w:eastAsia="Calibri" w:cs="Arial"/>
                  <w:b/>
                  <w:color w:val="000000"/>
                  <w:sz w:val="18"/>
                  <w:szCs w:val="18"/>
                </w:rPr>
                <w:id w:val="2136058923"/>
                <w14:checkbox>
                  <w14:checked w14:val="1"/>
                  <w14:checkedState w14:val="2612" w14:font="MS Gothic"/>
                  <w14:uncheckedState w14:val="2610" w14:font="MS Gothic"/>
                </w14:checkbox>
              </w:sdtPr>
              <w:sdtEndPr/>
              <w:sdtContent>
                <w:r w:rsidR="00B31CBF" w:rsidRPr="00C34383">
                  <w:rPr>
                    <w:rFonts w:ascii="MS Gothic" w:eastAsia="MS Gothic" w:hAnsi="MS Gothic" w:cs="Arial" w:hint="eastAsia"/>
                    <w:b/>
                    <w:color w:val="000000"/>
                    <w:sz w:val="18"/>
                    <w:szCs w:val="18"/>
                  </w:rPr>
                  <w:t>☒</w:t>
                </w:r>
              </w:sdtContent>
            </w:sdt>
            <w:r w:rsidR="00B31CBF" w:rsidRPr="00C34383">
              <w:rPr>
                <w:rFonts w:eastAsia="Calibri" w:cs="Arial"/>
                <w:b/>
                <w:color w:val="000000"/>
                <w:sz w:val="18"/>
                <w:szCs w:val="18"/>
              </w:rPr>
              <w:t xml:space="preserve"> Nein</w:t>
            </w:r>
          </w:p>
          <w:p w14:paraId="4A2C7E37" w14:textId="77777777" w:rsidR="00FB4811" w:rsidRDefault="00B31CBF">
            <w:pPr>
              <w:tabs>
                <w:tab w:val="left" w:pos="3240"/>
                <w:tab w:val="left" w:pos="4680"/>
                <w:tab w:val="left" w:pos="6624"/>
              </w:tabs>
              <w:spacing w:before="360" w:after="42"/>
              <w:textAlignment w:val="baseline"/>
              <w:rPr>
                <w:rFonts w:eastAsia="Calibri" w:cs="Arial"/>
                <w:color w:val="000000"/>
                <w:sz w:val="13"/>
                <w:szCs w:val="13"/>
                <w:vertAlign w:val="superscript"/>
              </w:rPr>
            </w:pPr>
            <w:r>
              <w:rPr>
                <w:rFonts w:eastAsia="Calibri" w:cs="Arial"/>
                <w:noProof/>
                <w:sz w:val="13"/>
                <w:szCs w:val="13"/>
                <w:vertAlign w:val="superscript"/>
              </w:rPr>
              <mc:AlternateContent>
                <mc:Choice Requires="wps">
                  <w:drawing>
                    <wp:anchor distT="0" distB="0" distL="114300" distR="114300" simplePos="0" relativeHeight="251742208" behindDoc="0" locked="0" layoutInCell="1" allowOverlap="1" wp14:anchorId="247075C8" wp14:editId="09633CA5">
                      <wp:simplePos x="0" y="0"/>
                      <wp:positionH relativeFrom="column">
                        <wp:posOffset>1089</wp:posOffset>
                      </wp:positionH>
                      <wp:positionV relativeFrom="paragraph">
                        <wp:posOffset>137614</wp:posOffset>
                      </wp:positionV>
                      <wp:extent cx="1758042" cy="0"/>
                      <wp:effectExtent l="0" t="0" r="33020" b="19050"/>
                      <wp:wrapNone/>
                      <wp:docPr id="37" name="Gerader Verbinder 37"/>
                      <wp:cNvGraphicFramePr/>
                      <a:graphic xmlns:a="http://schemas.openxmlformats.org/drawingml/2006/main">
                        <a:graphicData uri="http://schemas.microsoft.com/office/word/2010/wordprocessingShape">
                          <wps:wsp>
                            <wps:cNvCnPr/>
                            <wps:spPr>
                              <a:xfrm>
                                <a:off x="0" y="0"/>
                                <a:ext cx="175804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032B7F" id="Gerader Verbinder 37"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pt,10.85pt" to="13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" strokecolor="black [3213]">
                      <v:stroke joinstyle="miter"/>
                    </v:line>
                  </w:pict>
                </mc:Fallback>
              </mc:AlternateContent>
            </w:r>
            <w:r>
              <w:rPr>
                <w:rFonts w:eastAsia="Calibri" w:cs="Arial"/>
                <w:color w:val="000000"/>
                <w:sz w:val="13"/>
                <w:szCs w:val="13"/>
                <w:vertAlign w:val="superscript"/>
              </w:rPr>
              <w:t>1</w:t>
            </w:r>
            <w:r>
              <w:rPr>
                <w:rFonts w:eastAsia="Calibri" w:cs="Arial"/>
                <w:color w:val="000000"/>
                <w:sz w:val="13"/>
                <w:szCs w:val="13"/>
              </w:rPr>
              <w:t xml:space="preserve"> Tätigkeiten im Bereich fossiles Gas und/oder Kernenergie sind nur dann EU-taxonomiekonform, wenn sie zur Eindämmung des Klimawandels („Klimaschutz") beitragen und kein Ziel der EU-Taxonomie erheblich beeinträchtigen — siehe Erläuterung am linken Rand. Die vollständigen Kriterien für EU-taxonomiekonforme Wirtschaftstätigkeiten im Bereich fossiles Gas und Kernenergie sind in der Delegierten Verordnung (EU) 2022/1214 der Kommission festgelegt.</w:t>
            </w:r>
          </w:p>
          <w:p w14:paraId="27F2EBE8" w14:textId="77777777" w:rsidR="00FB4811" w:rsidRDefault="00FB4811">
            <w:pPr>
              <w:tabs>
                <w:tab w:val="left" w:pos="3240"/>
                <w:tab w:val="left" w:pos="4680"/>
                <w:tab w:val="left" w:pos="6624"/>
              </w:tabs>
              <w:spacing w:before="360" w:after="42" w:line="203" w:lineRule="exact"/>
              <w:textAlignment w:val="baseline"/>
              <w:rPr>
                <w:rFonts w:cs="Arial"/>
                <w:noProof/>
                <w:sz w:val="18"/>
                <w:szCs w:val="18"/>
              </w:rPr>
            </w:pPr>
          </w:p>
        </w:tc>
      </w:tr>
      <w:tr w:rsidR="00FB4811" w14:paraId="2C199538" w14:textId="77777777" w:rsidTr="00EA5280">
        <w:trPr>
          <w:trHeight w:val="2788"/>
        </w:trPr>
        <w:tc>
          <w:tcPr>
            <w:tcW w:w="1702" w:type="dxa"/>
            <w:shd w:val="pct5" w:color="auto" w:fill="auto"/>
          </w:tcPr>
          <w:p w14:paraId="16AC8434" w14:textId="53B918BD" w:rsidR="00FB4811" w:rsidRDefault="00B31CBF">
            <w:pPr>
              <w:spacing w:before="7"/>
              <w:ind w:right="144"/>
              <w:textAlignment w:val="baseline"/>
              <w:rPr>
                <w:rFonts w:eastAsia="Calibri" w:cs="Arial"/>
                <w:color w:val="000000"/>
                <w:spacing w:val="3"/>
                <w:szCs w:val="15"/>
              </w:rPr>
            </w:pPr>
            <w:r>
              <w:rPr>
                <w:rFonts w:eastAsia="Calibri" w:cs="Arial"/>
                <w:color w:val="000000"/>
                <w:spacing w:val="3"/>
                <w:szCs w:val="15"/>
              </w:rPr>
              <w:lastRenderedPageBreak/>
              <w:t>Taxonomie</w:t>
            </w:r>
            <w:r w:rsidR="00D4263E">
              <w:rPr>
                <w:rFonts w:eastAsia="Calibri" w:cs="Arial"/>
                <w:color w:val="000000"/>
                <w:spacing w:val="3"/>
                <w:szCs w:val="15"/>
              </w:rPr>
              <w:t>-</w:t>
            </w:r>
            <w:r>
              <w:rPr>
                <w:rFonts w:eastAsia="Calibri" w:cs="Arial"/>
                <w:color w:val="000000"/>
                <w:spacing w:val="3"/>
                <w:szCs w:val="15"/>
              </w:rPr>
              <w:t xml:space="preserve">konforme Tätigkeiten, ausgedrückt durch den Anteil der: </w:t>
            </w:r>
          </w:p>
          <w:p w14:paraId="735886D2" w14:textId="0C2B0E2D" w:rsidR="00FB4811" w:rsidRDefault="00B31CBF">
            <w:pPr>
              <w:spacing w:before="7"/>
              <w:ind w:right="144"/>
              <w:textAlignment w:val="baseline"/>
              <w:rPr>
                <w:rFonts w:eastAsia="Calibri" w:cs="Arial"/>
                <w:color w:val="000000"/>
                <w:spacing w:val="3"/>
                <w:szCs w:val="15"/>
              </w:rPr>
            </w:pPr>
            <w:r>
              <w:rPr>
                <w:rFonts w:eastAsia="Calibri" w:cs="Arial"/>
                <w:b/>
                <w:color w:val="000000"/>
                <w:spacing w:val="3"/>
                <w:szCs w:val="15"/>
              </w:rPr>
              <w:t xml:space="preserve">- Umsatzerlöse, </w:t>
            </w:r>
            <w:r>
              <w:rPr>
                <w:rFonts w:eastAsia="Calibri" w:cs="Arial"/>
                <w:color w:val="000000"/>
                <w:spacing w:val="3"/>
                <w:szCs w:val="15"/>
              </w:rPr>
              <w:t xml:space="preserve">die den Anteil der Einnahmen aus umweltfreundlichen Aktivitäten der Unternehmen, in die investiert wird, widerspiegeln </w:t>
            </w:r>
            <w:r>
              <w:rPr>
                <w:rFonts w:eastAsia="Calibri" w:cs="Arial"/>
                <w:color w:val="000000"/>
                <w:spacing w:val="3"/>
                <w:szCs w:val="15"/>
              </w:rPr>
              <w:br/>
            </w:r>
            <w:r>
              <w:rPr>
                <w:rFonts w:eastAsia="Calibri" w:cs="Arial"/>
                <w:b/>
                <w:color w:val="000000"/>
                <w:spacing w:val="3"/>
                <w:szCs w:val="15"/>
              </w:rPr>
              <w:t>- Investitionsaus</w:t>
            </w:r>
            <w:r>
              <w:rPr>
                <w:rFonts w:eastAsia="Calibri" w:cs="Arial"/>
                <w:b/>
                <w:color w:val="000000"/>
                <w:spacing w:val="3"/>
                <w:szCs w:val="15"/>
              </w:rPr>
              <w:softHyphen/>
              <w:t xml:space="preserve">gaben </w:t>
            </w:r>
            <w:r>
              <w:rPr>
                <w:rFonts w:eastAsia="Calibri" w:cs="Arial"/>
                <w:color w:val="000000"/>
                <w:spacing w:val="3"/>
                <w:szCs w:val="15"/>
              </w:rPr>
              <w:t>(CapEx), die die umwelt</w:t>
            </w:r>
            <w:r>
              <w:rPr>
                <w:rFonts w:eastAsia="Calibri" w:cs="Arial"/>
                <w:color w:val="000000"/>
                <w:spacing w:val="3"/>
                <w:szCs w:val="15"/>
              </w:rPr>
              <w:softHyphen/>
              <w:t>freund</w:t>
            </w:r>
            <w:r>
              <w:rPr>
                <w:rFonts w:eastAsia="Calibri" w:cs="Arial"/>
                <w:color w:val="000000"/>
                <w:spacing w:val="3"/>
                <w:szCs w:val="15"/>
              </w:rPr>
              <w:softHyphen/>
              <w:t xml:space="preserve">lichen Investitionen der Unternehmen, in die investiert wird, aufzeigen, z. B. für den Übergang zu einer grünen Wirtschaft </w:t>
            </w:r>
            <w:r>
              <w:rPr>
                <w:rFonts w:eastAsia="Calibri" w:cs="Arial"/>
                <w:color w:val="000000"/>
                <w:spacing w:val="3"/>
                <w:szCs w:val="15"/>
              </w:rPr>
              <w:br/>
            </w:r>
            <w:r>
              <w:rPr>
                <w:rFonts w:eastAsia="Calibri" w:cs="Arial"/>
                <w:b/>
                <w:color w:val="000000"/>
                <w:spacing w:val="3"/>
                <w:szCs w:val="15"/>
              </w:rPr>
              <w:t>- Betriebs</w:t>
            </w:r>
            <w:r w:rsidR="004C0B21">
              <w:rPr>
                <w:rFonts w:eastAsia="Calibri" w:cs="Arial"/>
                <w:b/>
                <w:color w:val="000000"/>
                <w:spacing w:val="3"/>
                <w:szCs w:val="15"/>
              </w:rPr>
              <w:t>-</w:t>
            </w:r>
            <w:r>
              <w:rPr>
                <w:rFonts w:eastAsia="Calibri" w:cs="Arial"/>
                <w:b/>
                <w:color w:val="000000"/>
                <w:spacing w:val="3"/>
                <w:szCs w:val="15"/>
              </w:rPr>
              <w:t xml:space="preserve">ausgaben </w:t>
            </w:r>
            <w:r>
              <w:rPr>
                <w:rFonts w:eastAsia="Calibri" w:cs="Arial"/>
                <w:color w:val="000000"/>
                <w:spacing w:val="3"/>
                <w:szCs w:val="15"/>
              </w:rPr>
              <w:t>(OpEx), die die umweltfreundlichen betrieblichen Aktivitäten der Unternehmen, in die investiert wird, widerspiegeln</w:t>
            </w:r>
          </w:p>
          <w:p w14:paraId="26390E84" w14:textId="77777777" w:rsidR="00FB4811" w:rsidRDefault="00FB4811">
            <w:pPr>
              <w:spacing w:before="7"/>
              <w:ind w:right="144"/>
              <w:textAlignment w:val="baseline"/>
              <w:rPr>
                <w:rFonts w:eastAsia="Arial" w:cs="Arial"/>
                <w:i/>
                <w:color w:val="C00000"/>
                <w:szCs w:val="15"/>
              </w:rPr>
            </w:pPr>
          </w:p>
        </w:tc>
        <w:tc>
          <w:tcPr>
            <w:tcW w:w="572" w:type="dxa"/>
          </w:tcPr>
          <w:p w14:paraId="75EEAAE7" w14:textId="77777777" w:rsidR="00FB4811" w:rsidRDefault="00FB4811">
            <w:pPr>
              <w:spacing w:line="245" w:lineRule="exact"/>
              <w:jc w:val="both"/>
              <w:textAlignment w:val="baseline"/>
              <w:rPr>
                <w:rFonts w:eastAsia="Calibri" w:cs="Arial"/>
                <w:b/>
                <w:color w:val="000000"/>
                <w:spacing w:val="-2"/>
                <w:sz w:val="18"/>
                <w:szCs w:val="18"/>
              </w:rPr>
            </w:pPr>
          </w:p>
        </w:tc>
        <w:tc>
          <w:tcPr>
            <w:tcW w:w="8216" w:type="dxa"/>
            <w:shd w:val="clear" w:color="auto" w:fill="auto"/>
          </w:tcPr>
          <w:p w14:paraId="601F4EA9" w14:textId="77777777" w:rsidR="00FB4811" w:rsidRDefault="00B31CBF">
            <w:pPr>
              <w:spacing w:after="158"/>
              <w:jc w:val="both"/>
              <w:textAlignment w:val="baseline"/>
              <w:rPr>
                <w:rFonts w:eastAsia="Calibri" w:cs="Arial"/>
                <w:b/>
                <w:i/>
                <w:spacing w:val="-1"/>
                <w:sz w:val="18"/>
              </w:rPr>
            </w:pPr>
            <w:r>
              <w:rPr>
                <w:rFonts w:eastAsia="Calibri" w:cs="Arial"/>
                <w:i/>
                <w:noProof/>
                <w:color w:val="C00000"/>
                <w:spacing w:val="-1"/>
                <w:sz w:val="18"/>
              </w:rPr>
              <mc:AlternateContent>
                <mc:Choice Requires="wps">
                  <w:drawing>
                    <wp:anchor distT="0" distB="215265" distL="0" distR="0" simplePos="0" relativeHeight="251744256" behindDoc="1" locked="0" layoutInCell="1" allowOverlap="1" wp14:anchorId="3F1A4841" wp14:editId="267B0038">
                      <wp:simplePos x="0" y="0"/>
                      <wp:positionH relativeFrom="page">
                        <wp:posOffset>56515</wp:posOffset>
                      </wp:positionH>
                      <wp:positionV relativeFrom="page">
                        <wp:posOffset>37769</wp:posOffset>
                      </wp:positionV>
                      <wp:extent cx="4834890" cy="3919855"/>
                      <wp:effectExtent l="0" t="0" r="3810" b="4445"/>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3919855"/>
                              </a:xfrm>
                              <a:prstGeom prst="rect">
                                <a:avLst/>
                              </a:prstGeom>
                              <a:solidFill>
                                <a:srgbClr val="FAE9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77BC1" w14:textId="77777777" w:rsidR="00FB4811" w:rsidRPr="00C34383" w:rsidRDefault="00B31CBF">
                                  <w:pPr>
                                    <w:spacing w:after="182"/>
                                    <w:ind w:left="72" w:right="144"/>
                                    <w:textAlignment w:val="baseline"/>
                                    <w:rPr>
                                      <w:rFonts w:ascii="Calibri" w:eastAsia="Calibri" w:hAnsi="Calibri"/>
                                      <w:b/>
                                      <w:i/>
                                      <w:color w:val="000000"/>
                                      <w:sz w:val="18"/>
                                    </w:rPr>
                                  </w:pPr>
                                  <w:r w:rsidRPr="00C34383">
                                    <w:rPr>
                                      <w:rFonts w:ascii="Calibri" w:eastAsia="Calibri" w:hAnsi="Calibri"/>
                                      <w:b/>
                                      <w:i/>
                                      <w:color w:val="000000"/>
                                      <w:sz w:val="18"/>
                                    </w:rPr>
                                    <w:t>Die nachstehenden Grafiken zeigen den Mindestprozentsatz der EU-taxonomiekonformen Investitionen in Grün. Da es keine geeignete Methode zur Bestimmung der Taxonomiekonformität von Staatsanleihen* gibt, zeigt die erste Grafik die Taxonomiekonformität in Bezug auf alle Investitionen des Finanzprodukts einschließlich der Staatsanleihen, während die zweite Grafik die Taxonomiekonformität nur in Bezug auf die Investitionen des Finanzprodukts zeigt, die keine Staatsanleihen umfassen.</w:t>
                                  </w:r>
                                </w:p>
                                <w:p w14:paraId="05336F90" w14:textId="77777777" w:rsidR="00FB4811" w:rsidRPr="00C34383" w:rsidRDefault="00B31CBF">
                                  <w:r w:rsidRPr="00C34383">
                                    <w:t xml:space="preserve">     </w:t>
                                  </w:r>
                                  <w:r w:rsidRPr="00C34383">
                                    <w:rPr>
                                      <w:noProof/>
                                    </w:rPr>
                                    <w:drawing>
                                      <wp:inline distT="0" distB="0" distL="0" distR="0" wp14:anchorId="0CF799A3" wp14:editId="29E62D7B">
                                        <wp:extent cx="2209800" cy="2496065"/>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C34383">
                                    <w:t xml:space="preserve">       </w:t>
                                  </w:r>
                                  <w:r w:rsidRPr="00C34383">
                                    <w:rPr>
                                      <w:noProof/>
                                    </w:rPr>
                                    <w:drawing>
                                      <wp:inline distT="0" distB="0" distL="0" distR="0" wp14:anchorId="19D76EF6" wp14:editId="4395E32E">
                                        <wp:extent cx="2130425" cy="2490788"/>
                                        <wp:effectExtent l="0" t="0" r="3175" b="508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C34383">
                                    <w:t xml:space="preserve">    </w:t>
                                  </w:r>
                                </w:p>
                                <w:p w14:paraId="214B8FA0" w14:textId="77777777" w:rsidR="00FB4811" w:rsidRPr="00C34383" w:rsidRDefault="00FB4811"/>
                                <w:p w14:paraId="6AD1BC52" w14:textId="77777777" w:rsidR="00FB4811" w:rsidRDefault="00B31CBF">
                                  <w:pPr>
                                    <w:rPr>
                                      <w:sz w:val="13"/>
                                      <w:szCs w:val="13"/>
                                    </w:rPr>
                                  </w:pPr>
                                  <w:r w:rsidRPr="00C34383">
                                    <w:rPr>
                                      <w:rFonts w:ascii="Calibri" w:eastAsia="Calibri" w:hAnsi="Calibri"/>
                                      <w:i/>
                                      <w:color w:val="000000"/>
                                      <w:sz w:val="13"/>
                                      <w:szCs w:val="13"/>
                                    </w:rPr>
                                    <w:t>*</w:t>
                                  </w:r>
                                  <w:r w:rsidRPr="00C34383">
                                    <w:rPr>
                                      <w:rFonts w:ascii="Tahoma" w:eastAsia="Tahoma" w:hAnsi="Tahoma"/>
                                      <w:color w:val="000000"/>
                                      <w:sz w:val="13"/>
                                      <w:szCs w:val="13"/>
                                      <w:lang w:eastAsia="en-US"/>
                                    </w:rPr>
                                    <w:t xml:space="preserve"> </w:t>
                                  </w:r>
                                  <w:r w:rsidRPr="00C34383">
                                    <w:rPr>
                                      <w:rFonts w:ascii="Calibri" w:eastAsia="Calibri" w:hAnsi="Calibri"/>
                                      <w:i/>
                                      <w:color w:val="000000"/>
                                      <w:sz w:val="13"/>
                                      <w:szCs w:val="13"/>
                                    </w:rPr>
                                    <w:t>Für die Zwecke dieser Grafiken umfasst der Begriff „Staatsanleihen" alle Risikopositionen gegenüber Staaten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A4841" id="_x0000_t202" coordsize="21600,21600" o:spt="202" path="m,l,21600r21600,l21600,xe">
                      <v:stroke joinstyle="miter"/>
                      <v:path gradientshapeok="t" o:connecttype="rect"/>
                    </v:shapetype>
                    <v:shape id="Textfeld 15" o:spid="_x0000_s1027" type="#_x0000_t202" style="position:absolute;left:0;text-align:left;margin-left:4.45pt;margin-top:2.95pt;width:380.7pt;height:308.65pt;z-index:-251572224;visibility:visible;mso-wrap-style:square;mso-width-percent:0;mso-height-percent:0;mso-wrap-distance-left:0;mso-wrap-distance-top:0;mso-wrap-distance-right:0;mso-wrap-distance-bottom:16.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" fillcolor="#fae9d7" stroked="f">
                      <v:textbox inset="0,0,0,0">
                        <w:txbxContent>
                          <w:p w14:paraId="26577BC1" w14:textId="77777777" w:rsidR="00FB4811" w:rsidRPr="00C34383" w:rsidRDefault="00B31CBF">
                            <w:pPr>
                              <w:spacing w:after="182"/>
                              <w:ind w:left="72" w:right="144"/>
                              <w:textAlignment w:val="baseline"/>
                              <w:rPr>
                                <w:rFonts w:ascii="Calibri" w:eastAsia="Calibri" w:hAnsi="Calibri"/>
                                <w:b/>
                                <w:i/>
                                <w:color w:val="000000"/>
                                <w:sz w:val="18"/>
                              </w:rPr>
                            </w:pPr>
                            <w:r w:rsidRPr="00C34383">
                              <w:rPr>
                                <w:rFonts w:ascii="Calibri" w:eastAsia="Calibri" w:hAnsi="Calibri"/>
                                <w:b/>
                                <w:i/>
                                <w:color w:val="000000"/>
                                <w:sz w:val="18"/>
                              </w:rPr>
                              <w:t>Die nachstehenden Grafiken zeigen den Mindestprozentsatz der EU-</w:t>
                            </w:r>
                            <w:proofErr w:type="spellStart"/>
                            <w:r w:rsidRPr="00C34383">
                              <w:rPr>
                                <w:rFonts w:ascii="Calibri" w:eastAsia="Calibri" w:hAnsi="Calibri"/>
                                <w:b/>
                                <w:i/>
                                <w:color w:val="000000"/>
                                <w:sz w:val="18"/>
                              </w:rPr>
                              <w:t>taxonomiekonformen</w:t>
                            </w:r>
                            <w:proofErr w:type="spellEnd"/>
                            <w:r w:rsidRPr="00C34383">
                              <w:rPr>
                                <w:rFonts w:ascii="Calibri" w:eastAsia="Calibri" w:hAnsi="Calibri"/>
                                <w:b/>
                                <w:i/>
                                <w:color w:val="000000"/>
                                <w:sz w:val="18"/>
                              </w:rPr>
                              <w:t xml:space="preserve"> Investitionen in Grün. Da es keine geeignete Methode zur Bestimmung der </w:t>
                            </w:r>
                            <w:proofErr w:type="spellStart"/>
                            <w:r w:rsidRPr="00C34383">
                              <w:rPr>
                                <w:rFonts w:ascii="Calibri" w:eastAsia="Calibri" w:hAnsi="Calibri"/>
                                <w:b/>
                                <w:i/>
                                <w:color w:val="000000"/>
                                <w:sz w:val="18"/>
                              </w:rPr>
                              <w:t>Taxonomiekonformität</w:t>
                            </w:r>
                            <w:proofErr w:type="spellEnd"/>
                            <w:r w:rsidRPr="00C34383">
                              <w:rPr>
                                <w:rFonts w:ascii="Calibri" w:eastAsia="Calibri" w:hAnsi="Calibri"/>
                                <w:b/>
                                <w:i/>
                                <w:color w:val="000000"/>
                                <w:sz w:val="18"/>
                              </w:rPr>
                              <w:t xml:space="preserve"> von Staatsanleihen* gibt, zeigt die erste Grafik die </w:t>
                            </w:r>
                            <w:proofErr w:type="spellStart"/>
                            <w:r w:rsidRPr="00C34383">
                              <w:rPr>
                                <w:rFonts w:ascii="Calibri" w:eastAsia="Calibri" w:hAnsi="Calibri"/>
                                <w:b/>
                                <w:i/>
                                <w:color w:val="000000"/>
                                <w:sz w:val="18"/>
                              </w:rPr>
                              <w:t>Taxonomiekonformität</w:t>
                            </w:r>
                            <w:proofErr w:type="spellEnd"/>
                            <w:r w:rsidRPr="00C34383">
                              <w:rPr>
                                <w:rFonts w:ascii="Calibri" w:eastAsia="Calibri" w:hAnsi="Calibri"/>
                                <w:b/>
                                <w:i/>
                                <w:color w:val="000000"/>
                                <w:sz w:val="18"/>
                              </w:rPr>
                              <w:t xml:space="preserve"> in Bezug auf alle Investitionen des Finanzprodukts einschließlich der Staatsanleihen, während die zweite Grafik die </w:t>
                            </w:r>
                            <w:proofErr w:type="spellStart"/>
                            <w:r w:rsidRPr="00C34383">
                              <w:rPr>
                                <w:rFonts w:ascii="Calibri" w:eastAsia="Calibri" w:hAnsi="Calibri"/>
                                <w:b/>
                                <w:i/>
                                <w:color w:val="000000"/>
                                <w:sz w:val="18"/>
                              </w:rPr>
                              <w:t>Taxonomiekonformität</w:t>
                            </w:r>
                            <w:proofErr w:type="spellEnd"/>
                            <w:r w:rsidRPr="00C34383">
                              <w:rPr>
                                <w:rFonts w:ascii="Calibri" w:eastAsia="Calibri" w:hAnsi="Calibri"/>
                                <w:b/>
                                <w:i/>
                                <w:color w:val="000000"/>
                                <w:sz w:val="18"/>
                              </w:rPr>
                              <w:t xml:space="preserve"> nur in Bezug auf die Investitionen des Finanzprodukts zeigt, die keine Staatsanleihen umfassen.</w:t>
                            </w:r>
                          </w:p>
                          <w:p w14:paraId="05336F90" w14:textId="77777777" w:rsidR="00FB4811" w:rsidRPr="00C34383" w:rsidRDefault="00B31CBF">
                            <w:r w:rsidRPr="00C34383">
                              <w:t xml:space="preserve">     </w:t>
                            </w:r>
                            <w:r w:rsidRPr="00C34383">
                              <w:rPr>
                                <w:noProof/>
                              </w:rPr>
                              <w:drawing>
                                <wp:inline distT="0" distB="0" distL="0" distR="0" wp14:anchorId="0CF799A3" wp14:editId="6A3A2D71">
                                  <wp:extent cx="2209800" cy="2496065"/>
                                  <wp:effectExtent l="0" t="0" r="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34383">
                              <w:t xml:space="preserve">       </w:t>
                            </w:r>
                            <w:r w:rsidRPr="00C34383">
                              <w:rPr>
                                <w:noProof/>
                              </w:rPr>
                              <w:drawing>
                                <wp:inline distT="0" distB="0" distL="0" distR="0" wp14:anchorId="19D76EF6" wp14:editId="465DD61F">
                                  <wp:extent cx="2130425" cy="2490788"/>
                                  <wp:effectExtent l="0" t="0" r="3175" b="508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C34383">
                              <w:t xml:space="preserve">    </w:t>
                            </w:r>
                          </w:p>
                          <w:p w14:paraId="214B8FA0" w14:textId="77777777" w:rsidR="00FB4811" w:rsidRPr="00C34383" w:rsidRDefault="00FB4811"/>
                          <w:p w14:paraId="6AD1BC52" w14:textId="77777777" w:rsidR="00FB4811" w:rsidRDefault="00B31CBF">
                            <w:pPr>
                              <w:rPr>
                                <w:sz w:val="13"/>
                                <w:szCs w:val="13"/>
                              </w:rPr>
                            </w:pPr>
                            <w:r w:rsidRPr="00C34383">
                              <w:rPr>
                                <w:rFonts w:ascii="Calibri" w:eastAsia="Calibri" w:hAnsi="Calibri"/>
                                <w:i/>
                                <w:color w:val="000000"/>
                                <w:sz w:val="13"/>
                                <w:szCs w:val="13"/>
                              </w:rPr>
                              <w:t>*</w:t>
                            </w:r>
                            <w:r w:rsidRPr="00C34383">
                              <w:rPr>
                                <w:rFonts w:ascii="Tahoma" w:eastAsia="Tahoma" w:hAnsi="Tahoma"/>
                                <w:color w:val="000000"/>
                                <w:sz w:val="13"/>
                                <w:szCs w:val="13"/>
                                <w:lang w:eastAsia="en-US"/>
                              </w:rPr>
                              <w:t xml:space="preserve"> </w:t>
                            </w:r>
                            <w:r w:rsidRPr="00C34383">
                              <w:rPr>
                                <w:rFonts w:ascii="Calibri" w:eastAsia="Calibri" w:hAnsi="Calibri"/>
                                <w:i/>
                                <w:color w:val="000000"/>
                                <w:sz w:val="13"/>
                                <w:szCs w:val="13"/>
                              </w:rPr>
                              <w:t>Für die Zwecke dieser Grafiken umfasst der Begriff „Staatsanleihen" alle Risikopositionen gegenüber Staaten</w:t>
                            </w:r>
                          </w:p>
                        </w:txbxContent>
                      </v:textbox>
                      <w10:wrap type="square" anchorx="page" anchory="page"/>
                    </v:shape>
                  </w:pict>
                </mc:Fallback>
              </mc:AlternateContent>
            </w:r>
          </w:p>
        </w:tc>
      </w:tr>
      <w:tr w:rsidR="00FB4811" w14:paraId="057F30D9" w14:textId="77777777" w:rsidTr="00EA5280">
        <w:trPr>
          <w:trHeight w:val="2788"/>
        </w:trPr>
        <w:tc>
          <w:tcPr>
            <w:tcW w:w="1702" w:type="dxa"/>
            <w:shd w:val="pct5" w:color="auto" w:fill="auto"/>
          </w:tcPr>
          <w:p w14:paraId="6C7E476E" w14:textId="77777777" w:rsidR="00FB4811" w:rsidRDefault="00FB4811">
            <w:pPr>
              <w:spacing w:before="7"/>
              <w:ind w:right="144"/>
              <w:textAlignment w:val="baseline"/>
              <w:rPr>
                <w:rFonts w:eastAsia="Arial" w:cs="Arial"/>
                <w:i/>
                <w:color w:val="C00000"/>
                <w:szCs w:val="15"/>
              </w:rPr>
            </w:pPr>
          </w:p>
        </w:tc>
        <w:tc>
          <w:tcPr>
            <w:tcW w:w="572" w:type="dxa"/>
            <w:vMerge w:val="restart"/>
          </w:tcPr>
          <w:p w14:paraId="3C68DBA4" w14:textId="092774E3" w:rsidR="00D4263E" w:rsidRDefault="00E034FF" w:rsidP="00D4263E">
            <w:pPr>
              <w:spacing w:line="245" w:lineRule="exact"/>
              <w:jc w:val="center"/>
              <w:textAlignment w:val="baseline"/>
              <w:rPr>
                <w:rFonts w:eastAsia="Calibri" w:cs="Arial"/>
                <w:b/>
                <w:color w:val="000000"/>
                <w:spacing w:val="-2"/>
                <w:sz w:val="18"/>
                <w:szCs w:val="18"/>
              </w:rPr>
            </w:pPr>
            <w:r>
              <w:rPr>
                <w:rFonts w:cs="Arial"/>
                <w:noProof/>
                <w:sz w:val="18"/>
                <w:szCs w:val="18"/>
              </w:rPr>
              <w:drawing>
                <wp:anchor distT="0" distB="0" distL="114300" distR="114300" simplePos="0" relativeHeight="251754496" behindDoc="1" locked="0" layoutInCell="1" allowOverlap="1" wp14:anchorId="49BBD86B" wp14:editId="700A20F3">
                  <wp:simplePos x="0" y="0"/>
                  <wp:positionH relativeFrom="column">
                    <wp:posOffset>103477</wp:posOffset>
                  </wp:positionH>
                  <wp:positionV relativeFrom="paragraph">
                    <wp:posOffset>2890</wp:posOffset>
                  </wp:positionV>
                  <wp:extent cx="245533" cy="203200"/>
                  <wp:effectExtent l="0" t="0" r="2540"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p>
          <w:p w14:paraId="4031A5B6" w14:textId="77777777" w:rsidR="00D4263E" w:rsidRDefault="00D4263E" w:rsidP="00D4263E">
            <w:pPr>
              <w:spacing w:line="245" w:lineRule="exact"/>
              <w:jc w:val="center"/>
              <w:textAlignment w:val="baseline"/>
              <w:rPr>
                <w:rFonts w:eastAsia="Calibri" w:cs="Arial"/>
                <w:b/>
                <w:color w:val="000000"/>
                <w:spacing w:val="-2"/>
                <w:sz w:val="18"/>
                <w:szCs w:val="18"/>
              </w:rPr>
            </w:pPr>
          </w:p>
          <w:p w14:paraId="157540D4" w14:textId="4A30EF94" w:rsidR="00D4263E" w:rsidRDefault="00D4263E" w:rsidP="00D4263E">
            <w:pPr>
              <w:spacing w:line="245" w:lineRule="exact"/>
              <w:jc w:val="center"/>
              <w:textAlignment w:val="baseline"/>
              <w:rPr>
                <w:rFonts w:eastAsia="Calibri" w:cs="Arial"/>
                <w:b/>
                <w:color w:val="000000"/>
                <w:spacing w:val="-2"/>
                <w:sz w:val="18"/>
                <w:szCs w:val="18"/>
              </w:rPr>
            </w:pPr>
          </w:p>
          <w:p w14:paraId="3BFF3B9D" w14:textId="77777777" w:rsidR="00D4263E" w:rsidRDefault="00D4263E" w:rsidP="00D4263E">
            <w:pPr>
              <w:spacing w:line="245" w:lineRule="exact"/>
              <w:jc w:val="center"/>
              <w:textAlignment w:val="baseline"/>
              <w:rPr>
                <w:rFonts w:eastAsia="Calibri" w:cs="Arial"/>
                <w:b/>
                <w:color w:val="000000"/>
                <w:spacing w:val="-2"/>
                <w:sz w:val="18"/>
                <w:szCs w:val="18"/>
              </w:rPr>
            </w:pPr>
          </w:p>
          <w:p w14:paraId="438728BE" w14:textId="5263E95D" w:rsidR="00FB4811" w:rsidRDefault="00E034FF" w:rsidP="00D4263E">
            <w:pPr>
              <w:spacing w:line="245" w:lineRule="exact"/>
              <w:jc w:val="center"/>
              <w:textAlignment w:val="baseline"/>
              <w:rPr>
                <w:rFonts w:eastAsia="Calibri" w:cs="Arial"/>
                <w:b/>
                <w:color w:val="000000"/>
                <w:spacing w:val="-2"/>
                <w:sz w:val="18"/>
                <w:szCs w:val="18"/>
              </w:rPr>
            </w:pPr>
            <w:r>
              <w:rPr>
                <w:rFonts w:cs="Arial"/>
                <w:noProof/>
                <w:sz w:val="18"/>
                <w:szCs w:val="18"/>
              </w:rPr>
              <w:drawing>
                <wp:anchor distT="0" distB="0" distL="114300" distR="114300" simplePos="0" relativeHeight="251756544" behindDoc="1" locked="0" layoutInCell="1" allowOverlap="1" wp14:anchorId="25BBFC37" wp14:editId="2CEFD974">
                  <wp:simplePos x="0" y="0"/>
                  <wp:positionH relativeFrom="column">
                    <wp:posOffset>103477</wp:posOffset>
                  </wp:positionH>
                  <wp:positionV relativeFrom="paragraph">
                    <wp:posOffset>621693</wp:posOffset>
                  </wp:positionV>
                  <wp:extent cx="245533" cy="203200"/>
                  <wp:effectExtent l="0" t="0" r="2540" b="635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sidR="00D4263E" w:rsidRPr="00D4263E">
              <w:rPr>
                <w:rFonts w:cs="Arial"/>
                <w:noProof/>
                <w:sz w:val="18"/>
                <w:szCs w:val="18"/>
              </w:rPr>
              <w:drawing>
                <wp:anchor distT="0" distB="0" distL="114300" distR="114300" simplePos="0" relativeHeight="251745280" behindDoc="1" locked="0" layoutInCell="1" allowOverlap="1" wp14:anchorId="121F38E1" wp14:editId="1C8903DE">
                  <wp:simplePos x="0" y="0"/>
                  <wp:positionH relativeFrom="column">
                    <wp:posOffset>-49530</wp:posOffset>
                  </wp:positionH>
                  <wp:positionV relativeFrom="paragraph">
                    <wp:posOffset>2193621</wp:posOffset>
                  </wp:positionV>
                  <wp:extent cx="294198" cy="264448"/>
                  <wp:effectExtent l="0" t="0" r="0" b="254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4198" cy="264448"/>
                          </a:xfrm>
                          <a:prstGeom prst="rect">
                            <a:avLst/>
                          </a:prstGeom>
                        </pic:spPr>
                      </pic:pic>
                    </a:graphicData>
                  </a:graphic>
                  <wp14:sizeRelH relativeFrom="margin">
                    <wp14:pctWidth>0</wp14:pctWidth>
                  </wp14:sizeRelH>
                  <wp14:sizeRelV relativeFrom="margin">
                    <wp14:pctHeight>0</wp14:pctHeight>
                  </wp14:sizeRelV>
                </wp:anchor>
              </w:drawing>
            </w:r>
            <w:r w:rsidR="00D4263E">
              <w:rPr>
                <w:rFonts w:cs="Arial"/>
                <w:noProof/>
                <w:sz w:val="18"/>
                <w:szCs w:val="18"/>
              </w:rPr>
              <w:drawing>
                <wp:anchor distT="0" distB="0" distL="114300" distR="114300" simplePos="0" relativeHeight="251746304" behindDoc="1" locked="0" layoutInCell="1" allowOverlap="1" wp14:anchorId="5477024F" wp14:editId="4503CB62">
                  <wp:simplePos x="0" y="0"/>
                  <wp:positionH relativeFrom="column">
                    <wp:posOffset>1270</wp:posOffset>
                  </wp:positionH>
                  <wp:positionV relativeFrom="paragraph">
                    <wp:posOffset>1393825</wp:posOffset>
                  </wp:positionV>
                  <wp:extent cx="242570" cy="217170"/>
                  <wp:effectExtent l="0" t="0" r="5080" b="0"/>
                  <wp:wrapNone/>
                  <wp:docPr id="11" name="Grafik 11"/>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8">
                            <a:extLst>
                              <a:ext uri="{28A0092B-C50C-407E-A947-70E740481C1C}">
                                <a14:useLocalDpi xmlns:a14="http://schemas.microsoft.com/office/drawing/2010/main" val="0"/>
                              </a:ext>
                            </a:extLst>
                          </a:blip>
                          <a:stretch>
                            <a:fillRect/>
                          </a:stretch>
                        </pic:blipFill>
                        <pic:spPr>
                          <a:xfrm>
                            <a:off x="0" y="0"/>
                            <a:ext cx="242570" cy="217170"/>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3332DC83" w14:textId="77777777" w:rsidR="00FB4811" w:rsidRDefault="00B31CBF" w:rsidP="00713633">
            <w:pPr>
              <w:spacing w:after="158"/>
              <w:jc w:val="both"/>
              <w:textAlignment w:val="baseline"/>
              <w:rPr>
                <w:rFonts w:eastAsia="Calibri" w:cs="Arial"/>
                <w:i/>
                <w:color w:val="C00000"/>
                <w:spacing w:val="-1"/>
                <w:sz w:val="18"/>
              </w:rPr>
            </w:pPr>
            <w:r>
              <w:rPr>
                <w:rFonts w:eastAsia="Calibri" w:cs="Arial"/>
                <w:b/>
                <w:i/>
                <w:spacing w:val="-1"/>
                <w:sz w:val="18"/>
              </w:rPr>
              <w:t>Wie hoch ist der Anteil der Investitionen, die in Übergangstätigkeiten und ermöglichende Tätigkeiten geflossen sind?</w:t>
            </w:r>
            <w:r>
              <w:rPr>
                <w:rFonts w:eastAsia="Calibri" w:cs="Arial"/>
                <w:i/>
                <w:spacing w:val="-1"/>
                <w:sz w:val="18"/>
              </w:rPr>
              <w:t xml:space="preserve"> </w:t>
            </w:r>
          </w:p>
          <w:p w14:paraId="6C2E9B81" w14:textId="018B8EC4" w:rsidR="00C34383" w:rsidRPr="00AB1601" w:rsidRDefault="00722D3D" w:rsidP="00713633">
            <w:pPr>
              <w:tabs>
                <w:tab w:val="left" w:pos="3240"/>
                <w:tab w:val="left" w:pos="4680"/>
                <w:tab w:val="left" w:pos="6624"/>
              </w:tabs>
              <w:spacing w:before="240" w:after="42" w:line="203" w:lineRule="exact"/>
              <w:jc w:val="both"/>
              <w:textAlignment w:val="baseline"/>
              <w:rPr>
                <w:rFonts w:cs="Arial"/>
                <w:noProof/>
                <w:sz w:val="18"/>
                <w:szCs w:val="18"/>
              </w:rPr>
            </w:pPr>
            <w:r>
              <w:rPr>
                <w:rFonts w:cs="Arial"/>
                <w:noProof/>
                <w:sz w:val="18"/>
                <w:szCs w:val="18"/>
              </w:rPr>
              <w:t>Der</w:t>
            </w:r>
            <w:r w:rsidR="00C34383" w:rsidRPr="00AB1601">
              <w:rPr>
                <w:rFonts w:cs="Arial"/>
                <w:noProof/>
                <w:sz w:val="18"/>
                <w:szCs w:val="18"/>
              </w:rPr>
              <w:t xml:space="preserve"> Anteil an Investitionen, die im Sinne der EU-Taxonomieverordnung als Übergangstätigkeiten einzustufen sind, betrug zum Stichtag 31.12.2023 0%.</w:t>
            </w:r>
          </w:p>
          <w:p w14:paraId="377B435F" w14:textId="77777777" w:rsidR="00B516DD" w:rsidRDefault="00C34383" w:rsidP="00713633">
            <w:pPr>
              <w:tabs>
                <w:tab w:val="left" w:pos="3240"/>
                <w:tab w:val="left" w:pos="4680"/>
                <w:tab w:val="left" w:pos="6624"/>
              </w:tabs>
              <w:spacing w:before="240" w:after="42" w:line="203" w:lineRule="exact"/>
              <w:jc w:val="both"/>
              <w:textAlignment w:val="baseline"/>
              <w:rPr>
                <w:rFonts w:cs="Arial"/>
                <w:noProof/>
                <w:sz w:val="18"/>
                <w:szCs w:val="18"/>
              </w:rPr>
            </w:pPr>
            <w:r w:rsidRPr="00AB1601">
              <w:rPr>
                <w:rFonts w:cs="Arial"/>
                <w:noProof/>
                <w:sz w:val="18"/>
                <w:szCs w:val="18"/>
              </w:rPr>
              <w:t xml:space="preserve">Der Anteil an Investitionen, die als ermöglichende Tätigkeit im Sinne der EU-Taxonomieverordnung klassifiziert werden können, </w:t>
            </w:r>
            <w:r>
              <w:rPr>
                <w:rFonts w:cs="Arial"/>
                <w:noProof/>
                <w:sz w:val="18"/>
                <w:szCs w:val="18"/>
              </w:rPr>
              <w:t>betrug</w:t>
            </w:r>
            <w:r w:rsidRPr="00AB1601">
              <w:rPr>
                <w:rFonts w:cs="Arial"/>
                <w:noProof/>
                <w:sz w:val="18"/>
                <w:szCs w:val="18"/>
              </w:rPr>
              <w:t xml:space="preserve"> 0%</w:t>
            </w:r>
          </w:p>
          <w:p w14:paraId="19DE0E61" w14:textId="0ED46BB5" w:rsidR="00FB4811" w:rsidRPr="00667E8A" w:rsidRDefault="00FB4811" w:rsidP="00B516DD">
            <w:pPr>
              <w:textAlignment w:val="baseline"/>
              <w:rPr>
                <w:rFonts w:eastAsia="Calibri" w:cs="Arial"/>
                <w:i/>
                <w:color w:val="000000"/>
                <w:sz w:val="18"/>
                <w:szCs w:val="18"/>
              </w:rPr>
            </w:pPr>
          </w:p>
          <w:p w14:paraId="342A9F8C" w14:textId="4DCDABDD" w:rsidR="00FB4811" w:rsidRPr="00667E8A" w:rsidRDefault="00B31CBF" w:rsidP="00713633">
            <w:pPr>
              <w:textAlignment w:val="baseline"/>
              <w:rPr>
                <w:rFonts w:eastAsia="Calibri" w:cs="Arial"/>
                <w:b/>
                <w:i/>
                <w:spacing w:val="-1"/>
                <w:sz w:val="18"/>
              </w:rPr>
            </w:pPr>
            <w:r>
              <w:rPr>
                <w:rFonts w:eastAsia="Calibri" w:cs="Arial"/>
                <w:b/>
                <w:i/>
                <w:spacing w:val="-1"/>
                <w:sz w:val="18"/>
              </w:rPr>
              <w:t>Wie hat sich der Anteil der Investitionen, die mit der EU-Taxonomie in Einklang gebracht wurden, im Vergleich zu früheren Bezugszeiträumen entwickelt?</w:t>
            </w:r>
            <w:r w:rsidR="00667E8A">
              <w:rPr>
                <w:rFonts w:eastAsia="Calibri" w:cs="Arial"/>
                <w:b/>
                <w:i/>
                <w:spacing w:val="-1"/>
                <w:sz w:val="18"/>
              </w:rPr>
              <w:br/>
            </w:r>
          </w:p>
          <w:p w14:paraId="62377B39" w14:textId="6B496FB0" w:rsidR="00FB4811" w:rsidRDefault="00C34383" w:rsidP="00713633">
            <w:pPr>
              <w:spacing w:after="158"/>
              <w:jc w:val="both"/>
              <w:textAlignment w:val="baseline"/>
              <w:rPr>
                <w:rFonts w:eastAsia="Calibri" w:cs="Arial"/>
                <w:i/>
                <w:color w:val="C00000"/>
                <w:spacing w:val="-1"/>
                <w:sz w:val="18"/>
              </w:rPr>
            </w:pPr>
            <w:r>
              <w:rPr>
                <w:rFonts w:eastAsia="Calibri" w:cs="Arial"/>
                <w:spacing w:val="-1"/>
                <w:sz w:val="18"/>
              </w:rPr>
              <w:t>Wie im Vorjahr lag der Anteil der Investitionen, die mit der EU-Taxonomie in Einklang gebracht wurden, bei 0%.</w:t>
            </w:r>
          </w:p>
        </w:tc>
      </w:tr>
      <w:tr w:rsidR="00FB4811" w14:paraId="596BED30" w14:textId="77777777" w:rsidTr="00EA5280">
        <w:trPr>
          <w:trHeight w:val="2835"/>
        </w:trPr>
        <w:tc>
          <w:tcPr>
            <w:tcW w:w="1702" w:type="dxa"/>
            <w:shd w:val="pct5" w:color="auto" w:fill="auto"/>
          </w:tcPr>
          <w:p w14:paraId="7B81A0F6" w14:textId="77777777" w:rsidR="00FB4811" w:rsidRDefault="00FB4811">
            <w:pPr>
              <w:spacing w:before="7"/>
              <w:ind w:right="144"/>
              <w:textAlignment w:val="baseline"/>
              <w:rPr>
                <w:rFonts w:eastAsia="Calibri" w:cs="Arial"/>
                <w:color w:val="000000"/>
                <w:spacing w:val="3"/>
                <w:szCs w:val="15"/>
              </w:rPr>
            </w:pPr>
          </w:p>
          <w:p w14:paraId="3708FD0C" w14:textId="48953A85" w:rsidR="00FB4811" w:rsidRDefault="00D4263E">
            <w:pPr>
              <w:spacing w:before="7"/>
              <w:ind w:right="144"/>
              <w:textAlignment w:val="baseline"/>
              <w:rPr>
                <w:rFonts w:eastAsia="Arial" w:cs="Arial"/>
                <w:i/>
                <w:color w:val="C00000"/>
                <w:szCs w:val="15"/>
              </w:rPr>
            </w:pPr>
            <w:r>
              <w:rPr>
                <w:rFonts w:cs="Arial"/>
                <w:noProof/>
                <w:sz w:val="18"/>
                <w:szCs w:val="18"/>
              </w:rPr>
              <w:drawing>
                <wp:inline distT="0" distB="0" distL="0" distR="0" wp14:anchorId="1FF2DB95" wp14:editId="42DE9FBF">
                  <wp:extent cx="242752" cy="217715"/>
                  <wp:effectExtent l="0" t="0" r="5080" b="0"/>
                  <wp:docPr id="16" name="Picture"/>
                  <wp:cNvGraphicFramePr/>
                  <a:graphic xmlns:a="http://schemas.openxmlformats.org/drawingml/2006/main">
                    <a:graphicData uri="http://schemas.openxmlformats.org/drawingml/2006/picture">
                      <pic:pic xmlns:pic="http://schemas.openxmlformats.org/drawingml/2006/picture">
                        <pic:nvPicPr>
                          <pic:cNvPr id="16" name="Picture"/>
                          <pic:cNvPicPr preferRelativeResize="0"/>
                        </pic:nvPicPr>
                        <pic:blipFill>
                          <a:blip r:embed="rId28"/>
                          <a:stretch>
                            <a:fillRect/>
                          </a:stretch>
                        </pic:blipFill>
                        <pic:spPr>
                          <a:xfrm>
                            <a:off x="0" y="0"/>
                            <a:ext cx="258407" cy="231755"/>
                          </a:xfrm>
                          <a:prstGeom prst="rect">
                            <a:avLst/>
                          </a:prstGeom>
                        </pic:spPr>
                      </pic:pic>
                    </a:graphicData>
                  </a:graphic>
                </wp:inline>
              </w:drawing>
            </w:r>
            <w:r w:rsidR="00B31CBF">
              <w:rPr>
                <w:rFonts w:eastAsia="Calibri" w:cs="Arial"/>
                <w:color w:val="000000"/>
                <w:spacing w:val="3"/>
                <w:szCs w:val="15"/>
              </w:rPr>
              <w:t>sind nachhaltige Investitionen mit einem Umweltziel, die die Kriterien für umweltverträgliche Wirtschaftstätigkeiten gemäß der EU-Taxonomie nicht berücksichtigen.</w:t>
            </w:r>
          </w:p>
        </w:tc>
        <w:tc>
          <w:tcPr>
            <w:tcW w:w="572" w:type="dxa"/>
            <w:vMerge/>
          </w:tcPr>
          <w:p w14:paraId="6EE07C9D" w14:textId="77777777" w:rsidR="00FB4811" w:rsidRDefault="00FB4811">
            <w:pPr>
              <w:spacing w:line="245" w:lineRule="exact"/>
              <w:jc w:val="both"/>
              <w:textAlignment w:val="baseline"/>
              <w:rPr>
                <w:rFonts w:eastAsia="Calibri" w:cs="Arial"/>
                <w:b/>
                <w:color w:val="000000"/>
                <w:spacing w:val="-2"/>
                <w:sz w:val="18"/>
                <w:szCs w:val="18"/>
              </w:rPr>
            </w:pPr>
          </w:p>
        </w:tc>
        <w:tc>
          <w:tcPr>
            <w:tcW w:w="8216" w:type="dxa"/>
            <w:shd w:val="clear" w:color="auto" w:fill="auto"/>
          </w:tcPr>
          <w:p w14:paraId="35198946" w14:textId="67D6076D" w:rsidR="00FB4811" w:rsidRPr="00B31CBF" w:rsidRDefault="00B31CBF" w:rsidP="00713633">
            <w:pPr>
              <w:spacing w:after="158"/>
              <w:jc w:val="both"/>
              <w:textAlignment w:val="baseline"/>
              <w:rPr>
                <w:rFonts w:eastAsia="Calibri" w:cs="Arial"/>
                <w:i/>
                <w:color w:val="C00000"/>
                <w:spacing w:val="-1"/>
                <w:sz w:val="18"/>
              </w:rPr>
            </w:pPr>
            <w:r w:rsidRPr="00B31CBF">
              <w:rPr>
                <w:rFonts w:eastAsia="Calibri" w:cs="Arial"/>
                <w:b/>
                <w:spacing w:val="-1"/>
                <w:sz w:val="18"/>
              </w:rPr>
              <w:t>Wie hoch war der Anteil der nicht mit der EU-Taxonomie konformen nachhaltigen Investitionen mit einem Umweltziel?</w:t>
            </w:r>
            <w:r w:rsidRPr="00B31CBF">
              <w:rPr>
                <w:rFonts w:eastAsia="Calibri" w:cs="Arial"/>
                <w:i/>
                <w:spacing w:val="-1"/>
                <w:sz w:val="18"/>
              </w:rPr>
              <w:t xml:space="preserve"> </w:t>
            </w:r>
          </w:p>
          <w:p w14:paraId="71642FF7" w14:textId="4BDFD0EB" w:rsidR="00431741" w:rsidRDefault="00431741" w:rsidP="00713633">
            <w:pPr>
              <w:spacing w:after="158" w:line="220" w:lineRule="exact"/>
              <w:jc w:val="both"/>
              <w:textAlignment w:val="baseline"/>
              <w:rPr>
                <w:rFonts w:cs="Arial"/>
                <w:noProof/>
                <w:sz w:val="18"/>
                <w:szCs w:val="18"/>
              </w:rPr>
            </w:pPr>
            <w:r>
              <w:rPr>
                <w:rFonts w:cs="Arial"/>
                <w:noProof/>
                <w:sz w:val="18"/>
                <w:szCs w:val="18"/>
              </w:rPr>
              <w:t xml:space="preserve">Der Anteil der nicht mit der EU-Taxonomie konformen nachhaltigen Investitionen lag im Berichtszeitraum bei 45,33%. Der Anteil </w:t>
            </w:r>
            <w:r>
              <w:rPr>
                <w:rFonts w:eastAsia="Calibri" w:cs="Arial"/>
                <w:spacing w:val="-1"/>
                <w:sz w:val="18"/>
              </w:rPr>
              <w:t>der mit der EU-Taxonomie ein Einklang stehenden Investitionen lag bei 0%.</w:t>
            </w:r>
          </w:p>
          <w:p w14:paraId="2990ED0E" w14:textId="13434FE3" w:rsidR="00FB4811" w:rsidRPr="00B31CBF" w:rsidRDefault="00B31CBF" w:rsidP="00713633">
            <w:pPr>
              <w:spacing w:after="158" w:line="220" w:lineRule="exact"/>
              <w:jc w:val="both"/>
              <w:textAlignment w:val="baseline"/>
              <w:rPr>
                <w:rFonts w:cs="Arial"/>
                <w:noProof/>
                <w:sz w:val="18"/>
                <w:szCs w:val="18"/>
              </w:rPr>
            </w:pPr>
            <w:r w:rsidRPr="00B31CBF">
              <w:rPr>
                <w:rFonts w:eastAsia="Calibri" w:cs="Arial"/>
                <w:b/>
                <w:spacing w:val="-1"/>
                <w:sz w:val="18"/>
              </w:rPr>
              <w:t>Wie hoch war der Anteil der sozial nachhaltigen Investitionen?</w:t>
            </w:r>
            <w:r w:rsidRPr="00B31CBF">
              <w:rPr>
                <w:rFonts w:cs="Arial"/>
                <w:noProof/>
                <w:sz w:val="18"/>
                <w:szCs w:val="18"/>
              </w:rPr>
              <w:t xml:space="preserve"> </w:t>
            </w:r>
          </w:p>
          <w:p w14:paraId="748EE2EA" w14:textId="77777777" w:rsidR="00AD5681" w:rsidRDefault="00AD5681" w:rsidP="00713633">
            <w:pPr>
              <w:spacing w:after="158"/>
              <w:jc w:val="both"/>
              <w:textAlignment w:val="baseline"/>
              <w:rPr>
                <w:rFonts w:eastAsia="Calibri" w:cs="Arial"/>
                <w:spacing w:val="-1"/>
                <w:sz w:val="18"/>
              </w:rPr>
            </w:pPr>
            <w:r w:rsidRPr="00705034">
              <w:rPr>
                <w:rFonts w:eastAsia="Calibri" w:cs="Arial"/>
                <w:spacing w:val="-1"/>
                <w:sz w:val="18"/>
              </w:rPr>
              <w:t xml:space="preserve">Siehe </w:t>
            </w:r>
            <w:r>
              <w:rPr>
                <w:rFonts w:eastAsia="Calibri" w:cs="Arial"/>
                <w:spacing w:val="-1"/>
                <w:sz w:val="18"/>
              </w:rPr>
              <w:t>‚</w:t>
            </w:r>
            <w:r w:rsidRPr="00705034">
              <w:rPr>
                <w:rFonts w:eastAsia="Calibri" w:cs="Arial"/>
                <w:spacing w:val="-1"/>
                <w:sz w:val="18"/>
              </w:rPr>
              <w:t>Welche Ziele verfolgten die nachhaltigen Investitionen, die mit dem Finanzprodukt teilweise getätigt wurden, und wie trägt die nachhaltige Investition zu diesen Zielen bei?</w:t>
            </w:r>
            <w:r>
              <w:rPr>
                <w:rFonts w:eastAsia="Calibri" w:cs="Arial"/>
                <w:spacing w:val="-1"/>
                <w:sz w:val="18"/>
              </w:rPr>
              <w:t>‘</w:t>
            </w:r>
            <w:r w:rsidRPr="00705034">
              <w:rPr>
                <w:rFonts w:eastAsia="Calibri" w:cs="Arial"/>
                <w:spacing w:val="-1"/>
                <w:sz w:val="18"/>
              </w:rPr>
              <w:t xml:space="preserve"> </w:t>
            </w:r>
          </w:p>
          <w:p w14:paraId="53720D0F" w14:textId="6647CA77" w:rsidR="00FB4811" w:rsidRPr="00B31CBF" w:rsidRDefault="00AD5681" w:rsidP="00713633">
            <w:pPr>
              <w:spacing w:after="158" w:line="220" w:lineRule="exact"/>
              <w:jc w:val="both"/>
              <w:textAlignment w:val="baseline"/>
              <w:rPr>
                <w:rFonts w:eastAsia="Calibri" w:cs="Arial"/>
                <w:i/>
                <w:color w:val="C00000"/>
                <w:spacing w:val="-1"/>
                <w:sz w:val="18"/>
                <w:highlight w:val="yellow"/>
              </w:rPr>
            </w:pPr>
            <w:r>
              <w:rPr>
                <w:rFonts w:cs="Arial"/>
                <w:noProof/>
                <w:sz w:val="18"/>
                <w:szCs w:val="18"/>
              </w:rPr>
              <w:t xml:space="preserve">Der Ansatz zur Bestimmung der nachhaltigen Investitionen basiert auf einer durch den ESG-Datenanbieter erstellten Methodik. </w:t>
            </w:r>
            <w:r w:rsidRPr="00705034">
              <w:rPr>
                <w:rFonts w:cs="Arial"/>
                <w:noProof/>
                <w:sz w:val="18"/>
                <w:szCs w:val="18"/>
              </w:rPr>
              <w:t xml:space="preserve">Eine Unterscheidung in soziale Ziele und Umweltziele wird </w:t>
            </w:r>
            <w:r>
              <w:rPr>
                <w:rFonts w:cs="Arial"/>
                <w:noProof/>
                <w:sz w:val="18"/>
                <w:szCs w:val="18"/>
              </w:rPr>
              <w:t xml:space="preserve">dabei durch den Datenanbieter </w:t>
            </w:r>
            <w:r w:rsidRPr="00705034">
              <w:rPr>
                <w:rFonts w:cs="Arial"/>
                <w:noProof/>
                <w:sz w:val="18"/>
                <w:szCs w:val="18"/>
              </w:rPr>
              <w:t>nicht vorgenommen. Der Anteil sozial und</w:t>
            </w:r>
            <w:r w:rsidR="009C21EF">
              <w:rPr>
                <w:rFonts w:cs="Arial"/>
                <w:noProof/>
                <w:sz w:val="18"/>
                <w:szCs w:val="18"/>
              </w:rPr>
              <w:t>/oder</w:t>
            </w:r>
            <w:r w:rsidRPr="00705034">
              <w:rPr>
                <w:rFonts w:cs="Arial"/>
                <w:noProof/>
                <w:sz w:val="18"/>
                <w:szCs w:val="18"/>
              </w:rPr>
              <w:t xml:space="preserve"> ökologisch nachhaltiger Investitionen wird im Abschnitt ‚Wie haben die Nachhaltigkeits</w:t>
            </w:r>
            <w:r>
              <w:rPr>
                <w:rFonts w:cs="Arial"/>
                <w:noProof/>
                <w:sz w:val="18"/>
                <w:szCs w:val="18"/>
              </w:rPr>
              <w:t>-</w:t>
            </w:r>
            <w:r w:rsidRPr="00705034">
              <w:rPr>
                <w:rFonts w:cs="Arial"/>
                <w:noProof/>
                <w:sz w:val="18"/>
                <w:szCs w:val="18"/>
              </w:rPr>
              <w:t>indikatoren abgeschnitten?‘ dargelegt.</w:t>
            </w:r>
          </w:p>
        </w:tc>
      </w:tr>
      <w:tr w:rsidR="00FB4811" w14:paraId="6048B662" w14:textId="77777777" w:rsidTr="00EA5280">
        <w:trPr>
          <w:trHeight w:val="1126"/>
        </w:trPr>
        <w:tc>
          <w:tcPr>
            <w:tcW w:w="1702" w:type="dxa"/>
            <w:shd w:val="clear" w:color="auto" w:fill="auto"/>
          </w:tcPr>
          <w:p w14:paraId="1C772421" w14:textId="77777777" w:rsidR="00FB4811" w:rsidRDefault="00FB4811">
            <w:pPr>
              <w:spacing w:before="7" w:line="230" w:lineRule="exact"/>
              <w:ind w:right="144"/>
              <w:textAlignment w:val="baseline"/>
              <w:rPr>
                <w:rFonts w:eastAsia="Calibri" w:cs="Arial"/>
                <w:i/>
                <w:color w:val="C00000"/>
                <w:spacing w:val="3"/>
                <w:sz w:val="18"/>
                <w:szCs w:val="18"/>
              </w:rPr>
            </w:pPr>
          </w:p>
        </w:tc>
        <w:tc>
          <w:tcPr>
            <w:tcW w:w="572" w:type="dxa"/>
          </w:tcPr>
          <w:p w14:paraId="21B1C9BA" w14:textId="77777777" w:rsidR="00FB4811" w:rsidRDefault="00FB4811">
            <w:pPr>
              <w:spacing w:line="245" w:lineRule="exact"/>
              <w:jc w:val="both"/>
              <w:textAlignment w:val="baseline"/>
              <w:rPr>
                <w:rFonts w:cs="Arial"/>
              </w:rPr>
            </w:pPr>
          </w:p>
          <w:p w14:paraId="3C949FD7" w14:textId="77777777" w:rsidR="00FB4811" w:rsidRDefault="00B31CBF">
            <w:pPr>
              <w:spacing w:line="245" w:lineRule="exact"/>
              <w:jc w:val="both"/>
              <w:textAlignment w:val="baseline"/>
              <w:rPr>
                <w:rFonts w:eastAsia="Calibri" w:cs="Arial"/>
                <w:b/>
                <w:i/>
                <w:color w:val="000000"/>
                <w:spacing w:val="-2"/>
                <w:sz w:val="18"/>
                <w:szCs w:val="18"/>
              </w:rPr>
            </w:pPr>
            <w:r>
              <w:rPr>
                <w:rFonts w:cs="Arial"/>
                <w:noProof/>
              </w:rPr>
              <w:drawing>
                <wp:inline distT="0" distB="0" distL="0" distR="0" wp14:anchorId="3D20AF0F" wp14:editId="29E8BA60">
                  <wp:extent cx="226060" cy="251460"/>
                  <wp:effectExtent l="0" t="0" r="254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26060" cy="251460"/>
                          </a:xfrm>
                          <a:prstGeom prst="rect">
                            <a:avLst/>
                          </a:prstGeom>
                        </pic:spPr>
                      </pic:pic>
                    </a:graphicData>
                  </a:graphic>
                </wp:inline>
              </w:drawing>
            </w:r>
          </w:p>
        </w:tc>
        <w:tc>
          <w:tcPr>
            <w:tcW w:w="8216" w:type="dxa"/>
            <w:shd w:val="clear" w:color="auto" w:fill="auto"/>
          </w:tcPr>
          <w:p w14:paraId="2CC4C895" w14:textId="5DFC8480" w:rsidR="00FB4811" w:rsidRDefault="00B31CBF">
            <w:pPr>
              <w:jc w:val="both"/>
              <w:textAlignment w:val="baseline"/>
              <w:rPr>
                <w:rFonts w:eastAsia="Calibri" w:cs="Arial"/>
                <w:b/>
                <w:color w:val="000000"/>
                <w:spacing w:val="-2"/>
                <w:sz w:val="18"/>
                <w:szCs w:val="18"/>
              </w:rPr>
            </w:pPr>
            <w:r>
              <w:rPr>
                <w:rFonts w:eastAsia="Calibri" w:cs="Arial"/>
                <w:b/>
                <w:color w:val="000000"/>
                <w:spacing w:val="-2"/>
                <w:sz w:val="18"/>
                <w:szCs w:val="18"/>
              </w:rPr>
              <w:t>Welche Investitionen fielen unter „Andere Investitionen", welcher Anlagezweck wurde mit ihnen verfolgt und gab es einen ökologischen oder sozialen Mindestschutz?</w:t>
            </w:r>
          </w:p>
          <w:p w14:paraId="144FCEED" w14:textId="77777777" w:rsidR="00FB4811" w:rsidRDefault="00FB4811">
            <w:pPr>
              <w:jc w:val="both"/>
              <w:textAlignment w:val="baseline"/>
              <w:rPr>
                <w:rFonts w:eastAsia="Calibri" w:cs="Arial"/>
                <w:b/>
                <w:color w:val="000000"/>
                <w:spacing w:val="-2"/>
                <w:sz w:val="18"/>
                <w:szCs w:val="18"/>
              </w:rPr>
            </w:pPr>
          </w:p>
          <w:p w14:paraId="5E3572C0" w14:textId="77777777" w:rsidR="00667E8A" w:rsidRDefault="00667E8A" w:rsidP="00F67875">
            <w:pPr>
              <w:spacing w:after="120"/>
              <w:jc w:val="both"/>
              <w:textAlignment w:val="baseline"/>
              <w:rPr>
                <w:rFonts w:eastAsia="Calibri" w:cs="Arial"/>
                <w:spacing w:val="-1"/>
                <w:sz w:val="18"/>
              </w:rPr>
            </w:pPr>
            <w:r>
              <w:rPr>
                <w:rFonts w:eastAsia="Calibri" w:cs="Arial"/>
                <w:spacing w:val="-1"/>
                <w:sz w:val="18"/>
              </w:rPr>
              <w:t>Unter „Andere Investitionen“ fielen:</w:t>
            </w:r>
          </w:p>
          <w:p w14:paraId="438023BD" w14:textId="77777777" w:rsidR="00667E8A" w:rsidRDefault="00667E8A" w:rsidP="00667E8A">
            <w:pPr>
              <w:pStyle w:val="Listenabsatz"/>
              <w:numPr>
                <w:ilvl w:val="0"/>
                <w:numId w:val="24"/>
              </w:numPr>
              <w:jc w:val="both"/>
              <w:textAlignment w:val="baseline"/>
              <w:rPr>
                <w:rFonts w:eastAsia="Calibri" w:cs="Arial"/>
                <w:spacing w:val="-1"/>
                <w:sz w:val="18"/>
              </w:rPr>
            </w:pPr>
            <w:r>
              <w:rPr>
                <w:rFonts w:eastAsia="Calibri" w:cs="Arial"/>
                <w:spacing w:val="-1"/>
                <w:sz w:val="18"/>
              </w:rPr>
              <w:t xml:space="preserve">Investitionen, die gegen die Ausschlusskriterien verstoßen. </w:t>
            </w:r>
            <w:r w:rsidRPr="00AB1601">
              <w:rPr>
                <w:rFonts w:eastAsia="Calibri" w:cs="Arial"/>
                <w:spacing w:val="-1"/>
                <w:sz w:val="18"/>
              </w:rPr>
              <w:t>Der Ausschluss wird derzeit nur bei gezielten Investitionen sichergestellt. Bei Anlagen über nichtindividualisierte Ziel- oder passive Indexfonds, ist es möglich, dass indirekt in entsprechende Unternehmen investiert wird.</w:t>
            </w:r>
          </w:p>
          <w:p w14:paraId="25E7EA65" w14:textId="77777777" w:rsidR="00667E8A" w:rsidRPr="00B20D0F" w:rsidRDefault="00667E8A" w:rsidP="00667E8A">
            <w:pPr>
              <w:pStyle w:val="Listenabsatz"/>
              <w:numPr>
                <w:ilvl w:val="0"/>
                <w:numId w:val="24"/>
              </w:numPr>
              <w:jc w:val="both"/>
              <w:textAlignment w:val="baseline"/>
              <w:rPr>
                <w:rFonts w:eastAsia="Calibri" w:cs="Arial"/>
                <w:spacing w:val="-1"/>
                <w:sz w:val="18"/>
              </w:rPr>
            </w:pPr>
            <w:r>
              <w:rPr>
                <w:rFonts w:eastAsia="Calibri" w:cs="Arial"/>
                <w:spacing w:val="-1"/>
                <w:sz w:val="18"/>
              </w:rPr>
              <w:t>Investitionen, die nicht durch den ESG-Datenanbieter abgedeckt wurden</w:t>
            </w:r>
          </w:p>
          <w:p w14:paraId="4D17EB46" w14:textId="77777777" w:rsidR="00667E8A" w:rsidRDefault="00667E8A" w:rsidP="00667E8A">
            <w:pPr>
              <w:pStyle w:val="Listenabsatz"/>
              <w:numPr>
                <w:ilvl w:val="0"/>
                <w:numId w:val="24"/>
              </w:numPr>
              <w:jc w:val="both"/>
              <w:textAlignment w:val="baseline"/>
              <w:rPr>
                <w:rFonts w:eastAsia="Calibri" w:cs="Arial"/>
                <w:spacing w:val="-1"/>
                <w:sz w:val="18"/>
              </w:rPr>
            </w:pPr>
            <w:r>
              <w:rPr>
                <w:rFonts w:eastAsia="Calibri" w:cs="Arial"/>
                <w:spacing w:val="-1"/>
                <w:sz w:val="18"/>
              </w:rPr>
              <w:t>Derivate und Geldmittel</w:t>
            </w:r>
          </w:p>
          <w:p w14:paraId="29A9BA51" w14:textId="77777777" w:rsidR="00667E8A" w:rsidRDefault="00667E8A" w:rsidP="00667E8A">
            <w:pPr>
              <w:jc w:val="both"/>
              <w:textAlignment w:val="baseline"/>
              <w:rPr>
                <w:rFonts w:eastAsia="Calibri" w:cs="Arial"/>
                <w:spacing w:val="-1"/>
                <w:sz w:val="18"/>
              </w:rPr>
            </w:pPr>
          </w:p>
          <w:p w14:paraId="6F5D7FC1" w14:textId="3BFB1FAB" w:rsidR="00667E8A" w:rsidRDefault="00667E8A" w:rsidP="00667E8A">
            <w:pPr>
              <w:jc w:val="both"/>
              <w:textAlignment w:val="baseline"/>
              <w:rPr>
                <w:rFonts w:eastAsia="Calibri" w:cs="Arial"/>
                <w:spacing w:val="-1"/>
                <w:sz w:val="18"/>
              </w:rPr>
            </w:pPr>
            <w:r>
              <w:rPr>
                <w:rFonts w:eastAsia="Calibri" w:cs="Arial"/>
                <w:spacing w:val="-1"/>
                <w:sz w:val="18"/>
              </w:rPr>
              <w:t xml:space="preserve">Diese Investitionen dienen der Umsetzung der Anlagestrategie und deren Ziele. </w:t>
            </w:r>
            <w:r w:rsidR="00FC602A" w:rsidRPr="00AD246D">
              <w:rPr>
                <w:rFonts w:eastAsia="Calibri" w:cs="Arial"/>
                <w:spacing w:val="-1"/>
                <w:sz w:val="18"/>
              </w:rPr>
              <w:t>Bei diesen Investitionen sind keine ökologischen oder sozialen Mindestschutzmaßnahmen vorgesehen</w:t>
            </w:r>
            <w:r w:rsidR="00FC602A">
              <w:rPr>
                <w:rFonts w:eastAsia="Calibri" w:cs="Arial"/>
                <w:spacing w:val="-1"/>
                <w:sz w:val="18"/>
              </w:rPr>
              <w:t xml:space="preserve"> bzw. können aufgrund der mangelnden Datenverfügbarkeit nicht geprüft werden.</w:t>
            </w:r>
          </w:p>
          <w:p w14:paraId="37A8C2DF" w14:textId="77777777" w:rsidR="00FB4811" w:rsidRDefault="00FB4811">
            <w:pPr>
              <w:jc w:val="both"/>
              <w:textAlignment w:val="baseline"/>
              <w:rPr>
                <w:rFonts w:eastAsia="Calibri" w:cs="Arial"/>
                <w:b/>
                <w:color w:val="000000"/>
                <w:spacing w:val="-2"/>
                <w:sz w:val="18"/>
                <w:szCs w:val="18"/>
              </w:rPr>
            </w:pPr>
          </w:p>
        </w:tc>
      </w:tr>
      <w:tr w:rsidR="00FB4811" w14:paraId="6FCDB366" w14:textId="77777777" w:rsidTr="00EA5280">
        <w:trPr>
          <w:trHeight w:val="1692"/>
        </w:trPr>
        <w:tc>
          <w:tcPr>
            <w:tcW w:w="1702" w:type="dxa"/>
            <w:shd w:val="clear" w:color="auto" w:fill="auto"/>
          </w:tcPr>
          <w:p w14:paraId="6089B17B" w14:textId="77777777" w:rsidR="00FB4811" w:rsidRDefault="00FB4811">
            <w:pPr>
              <w:suppressAutoHyphens w:val="0"/>
              <w:spacing w:before="55" w:line="220" w:lineRule="exact"/>
              <w:ind w:left="72" w:right="144"/>
              <w:textAlignment w:val="baseline"/>
              <w:rPr>
                <w:rFonts w:eastAsia="Calibri" w:cs="Arial"/>
                <w:i/>
                <w:color w:val="C00000"/>
                <w:sz w:val="18"/>
                <w:szCs w:val="18"/>
                <w:lang w:eastAsia="en-US"/>
              </w:rPr>
            </w:pPr>
          </w:p>
        </w:tc>
        <w:tc>
          <w:tcPr>
            <w:tcW w:w="572" w:type="dxa"/>
          </w:tcPr>
          <w:p w14:paraId="1D6A9A65" w14:textId="77777777" w:rsidR="00FB4811" w:rsidRDefault="00B31CBF">
            <w:pPr>
              <w:spacing w:line="245" w:lineRule="exact"/>
              <w:jc w:val="both"/>
              <w:textAlignment w:val="baseline"/>
              <w:rPr>
                <w:rFonts w:eastAsia="Calibri" w:cs="Arial"/>
                <w:b/>
                <w:i/>
                <w:color w:val="000000"/>
                <w:spacing w:val="-2"/>
                <w:sz w:val="18"/>
                <w:szCs w:val="18"/>
              </w:rPr>
            </w:pPr>
            <w:r>
              <w:rPr>
                <w:rFonts w:cs="Arial"/>
                <w:noProof/>
                <w:sz w:val="18"/>
                <w:szCs w:val="18"/>
              </w:rPr>
              <w:drawing>
                <wp:anchor distT="0" distB="0" distL="114300" distR="114300" simplePos="0" relativeHeight="251727872" behindDoc="1" locked="0" layoutInCell="1" allowOverlap="1" wp14:anchorId="6042CC3D" wp14:editId="7DA2386B">
                  <wp:simplePos x="0" y="0"/>
                  <wp:positionH relativeFrom="column">
                    <wp:posOffset>-1047296</wp:posOffset>
                  </wp:positionH>
                  <wp:positionV relativeFrom="paragraph">
                    <wp:posOffset>-9525</wp:posOffset>
                  </wp:positionV>
                  <wp:extent cx="1348240" cy="469539"/>
                  <wp:effectExtent l="0" t="0" r="4445" b="698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48240" cy="469539"/>
                          </a:xfrm>
                          <a:prstGeom prst="rect">
                            <a:avLst/>
                          </a:prstGeom>
                        </pic:spPr>
                      </pic:pic>
                    </a:graphicData>
                  </a:graphic>
                  <wp14:sizeRelH relativeFrom="margin">
                    <wp14:pctWidth>0</wp14:pctWidth>
                  </wp14:sizeRelH>
                  <wp14:sizeRelV relativeFrom="margin">
                    <wp14:pctHeight>0</wp14:pctHeight>
                  </wp14:sizeRelV>
                </wp:anchor>
              </w:drawing>
            </w:r>
          </w:p>
        </w:tc>
        <w:tc>
          <w:tcPr>
            <w:tcW w:w="8216" w:type="dxa"/>
            <w:shd w:val="clear" w:color="auto" w:fill="auto"/>
          </w:tcPr>
          <w:p w14:paraId="1DB1DEF3" w14:textId="77777777" w:rsidR="00FB4811" w:rsidRDefault="00B31CBF">
            <w:pPr>
              <w:ind w:left="28" w:right="74"/>
              <w:jc w:val="both"/>
              <w:textAlignment w:val="baseline"/>
              <w:rPr>
                <w:rFonts w:eastAsia="Calibri" w:cs="Arial"/>
                <w:i/>
                <w:color w:val="C00000"/>
                <w:spacing w:val="-1"/>
                <w:sz w:val="18"/>
              </w:rPr>
            </w:pPr>
            <w:r>
              <w:rPr>
                <w:rFonts w:eastAsia="Calibri" w:cs="Arial"/>
                <w:b/>
                <w:color w:val="000000"/>
                <w:spacing w:val="-2"/>
                <w:sz w:val="18"/>
                <w:szCs w:val="18"/>
              </w:rPr>
              <w:t>Welche Maßnahmen wurden während des Bezugszeitraums zur Erfüllung der ökologischen und/oder sozialen Merkmale ergriffen?</w:t>
            </w:r>
            <w:r>
              <w:rPr>
                <w:rFonts w:eastAsia="Calibri" w:cs="Arial"/>
                <w:b/>
                <w:i/>
                <w:color w:val="000000"/>
                <w:spacing w:val="-2"/>
                <w:sz w:val="18"/>
                <w:szCs w:val="18"/>
              </w:rPr>
              <w:t xml:space="preserve"> </w:t>
            </w:r>
          </w:p>
          <w:p w14:paraId="4BC2C3FA" w14:textId="77777777" w:rsidR="00FB4811" w:rsidRDefault="00FB4811">
            <w:pPr>
              <w:ind w:left="28" w:right="74"/>
              <w:jc w:val="both"/>
              <w:textAlignment w:val="baseline"/>
              <w:rPr>
                <w:rFonts w:eastAsia="Calibri" w:cs="Arial"/>
                <w:b/>
                <w:i/>
                <w:color w:val="000000"/>
                <w:spacing w:val="-2"/>
                <w:sz w:val="18"/>
                <w:szCs w:val="18"/>
              </w:rPr>
            </w:pPr>
          </w:p>
          <w:p w14:paraId="70DDD4E3" w14:textId="77777777" w:rsidR="00FC602A" w:rsidRDefault="00FC602A" w:rsidP="00FC602A">
            <w:pPr>
              <w:spacing w:line="245" w:lineRule="exact"/>
              <w:jc w:val="both"/>
              <w:textAlignment w:val="baseline"/>
              <w:rPr>
                <w:rFonts w:eastAsia="Calibri" w:cs="Arial"/>
                <w:color w:val="000000"/>
                <w:sz w:val="18"/>
                <w:szCs w:val="18"/>
              </w:rPr>
            </w:pPr>
            <w:r>
              <w:rPr>
                <w:rFonts w:eastAsia="Calibri" w:cs="Arial"/>
                <w:color w:val="000000"/>
                <w:sz w:val="18"/>
                <w:szCs w:val="18"/>
              </w:rPr>
              <w:t>Im Geschäftsjahr 2023 hat der Konzern Versicherungskammer seine Ziele, die im Rahmen des Beitritts zur Net Zero Asset Owner Alliance (NZAOA) erarbeitet wurden, veröffentlicht:</w:t>
            </w:r>
          </w:p>
          <w:p w14:paraId="093CEA1A" w14:textId="77777777" w:rsidR="00FC602A" w:rsidRDefault="00FC602A" w:rsidP="00FC602A">
            <w:pPr>
              <w:pStyle w:val="Listenabsatz"/>
              <w:numPr>
                <w:ilvl w:val="0"/>
                <w:numId w:val="24"/>
              </w:numPr>
              <w:spacing w:line="245" w:lineRule="exact"/>
              <w:jc w:val="both"/>
              <w:textAlignment w:val="baseline"/>
              <w:rPr>
                <w:rFonts w:cs="Arial"/>
                <w:noProof/>
                <w:sz w:val="18"/>
                <w:szCs w:val="18"/>
              </w:rPr>
            </w:pPr>
            <w:r w:rsidRPr="00543CE8">
              <w:rPr>
                <w:rFonts w:cs="Arial"/>
                <w:noProof/>
                <w:sz w:val="18"/>
                <w:szCs w:val="18"/>
              </w:rPr>
              <w:t xml:space="preserve">Verringerung des CO2-Fußabdrucks des Teilportfolios Aktien, Unternehmensanleihen und Infrastruktur um 11% bis 2025 (Basisjahr: 2022). Dieses Reduktionsziel </w:t>
            </w:r>
            <w:r>
              <w:rPr>
                <w:rFonts w:cs="Arial"/>
                <w:noProof/>
                <w:sz w:val="18"/>
                <w:szCs w:val="18"/>
              </w:rPr>
              <w:t>gilt</w:t>
            </w:r>
            <w:r w:rsidRPr="00543CE8">
              <w:rPr>
                <w:rFonts w:cs="Arial"/>
                <w:noProof/>
                <w:sz w:val="18"/>
                <w:szCs w:val="18"/>
              </w:rPr>
              <w:t xml:space="preserve"> auch </w:t>
            </w:r>
            <w:r>
              <w:rPr>
                <w:rFonts w:cs="Arial"/>
                <w:noProof/>
                <w:sz w:val="18"/>
                <w:szCs w:val="18"/>
              </w:rPr>
              <w:t>für</w:t>
            </w:r>
            <w:r w:rsidRPr="00543CE8">
              <w:rPr>
                <w:rFonts w:cs="Arial"/>
                <w:noProof/>
                <w:sz w:val="18"/>
                <w:szCs w:val="18"/>
              </w:rPr>
              <w:t xml:space="preserve"> direkt gehaltene Immobilien</w:t>
            </w:r>
          </w:p>
          <w:p w14:paraId="00ED8EA3" w14:textId="77777777" w:rsidR="00FC602A" w:rsidRDefault="00FC602A" w:rsidP="00FC602A">
            <w:pPr>
              <w:pStyle w:val="Listenabsatz"/>
              <w:numPr>
                <w:ilvl w:val="0"/>
                <w:numId w:val="24"/>
              </w:numPr>
              <w:spacing w:line="245" w:lineRule="exact"/>
              <w:jc w:val="both"/>
              <w:textAlignment w:val="baseline"/>
              <w:rPr>
                <w:rFonts w:cs="Arial"/>
                <w:noProof/>
                <w:sz w:val="18"/>
                <w:szCs w:val="18"/>
              </w:rPr>
            </w:pPr>
            <w:r>
              <w:rPr>
                <w:rFonts w:cs="Arial"/>
                <w:noProof/>
                <w:sz w:val="18"/>
                <w:szCs w:val="18"/>
              </w:rPr>
              <w:t>Fokus auf Investitionen, die zur Eindämmung des Klimawandels beitragen</w:t>
            </w:r>
          </w:p>
          <w:p w14:paraId="3485B69E" w14:textId="77777777" w:rsidR="00FC602A" w:rsidRPr="00543CE8" w:rsidRDefault="00FC602A" w:rsidP="00FC602A">
            <w:pPr>
              <w:pStyle w:val="Listenabsatz"/>
              <w:numPr>
                <w:ilvl w:val="0"/>
                <w:numId w:val="24"/>
              </w:numPr>
              <w:ind w:right="74"/>
              <w:jc w:val="both"/>
              <w:textAlignment w:val="baseline"/>
              <w:rPr>
                <w:rFonts w:eastAsia="Calibri" w:cs="Arial"/>
                <w:b/>
                <w:i/>
                <w:color w:val="000000"/>
                <w:spacing w:val="-2"/>
                <w:sz w:val="18"/>
                <w:szCs w:val="18"/>
              </w:rPr>
            </w:pPr>
            <w:r>
              <w:rPr>
                <w:rFonts w:cs="Arial"/>
                <w:noProof/>
                <w:sz w:val="18"/>
                <w:szCs w:val="18"/>
              </w:rPr>
              <w:t>T</w:t>
            </w:r>
            <w:r w:rsidRPr="00543CE8">
              <w:rPr>
                <w:rFonts w:cs="Arial"/>
                <w:noProof/>
                <w:sz w:val="18"/>
                <w:szCs w:val="18"/>
              </w:rPr>
              <w:t xml:space="preserve">ransformation </w:t>
            </w:r>
            <w:r>
              <w:rPr>
                <w:rFonts w:cs="Arial"/>
                <w:noProof/>
                <w:sz w:val="18"/>
                <w:szCs w:val="18"/>
              </w:rPr>
              <w:t xml:space="preserve">der </w:t>
            </w:r>
            <w:r w:rsidRPr="00543CE8">
              <w:rPr>
                <w:rFonts w:cs="Arial"/>
                <w:noProof/>
                <w:sz w:val="18"/>
                <w:szCs w:val="18"/>
              </w:rPr>
              <w:t xml:space="preserve"> investierten Unternehmen hin zu Netto-Null-Emissionen</w:t>
            </w:r>
            <w:r>
              <w:rPr>
                <w:rFonts w:cs="Arial"/>
                <w:noProof/>
                <w:sz w:val="18"/>
                <w:szCs w:val="18"/>
              </w:rPr>
              <w:t xml:space="preserve"> </w:t>
            </w:r>
            <w:r w:rsidRPr="00543CE8">
              <w:rPr>
                <w:rFonts w:cs="Arial"/>
                <w:noProof/>
                <w:sz w:val="18"/>
                <w:szCs w:val="18"/>
              </w:rPr>
              <w:t>durch aktives Engagement mit Vermögensverwaltern, durch strukturiertes Engagement mit den 20 CO2-intensivsten Unternehmen i</w:t>
            </w:r>
            <w:r>
              <w:rPr>
                <w:rFonts w:cs="Arial"/>
                <w:noProof/>
                <w:sz w:val="18"/>
                <w:szCs w:val="18"/>
              </w:rPr>
              <w:t xml:space="preserve">m </w:t>
            </w:r>
            <w:r w:rsidRPr="00543CE8">
              <w:rPr>
                <w:rFonts w:cs="Arial"/>
                <w:noProof/>
                <w:sz w:val="18"/>
                <w:szCs w:val="18"/>
              </w:rPr>
              <w:t xml:space="preserve">Portfolio </w:t>
            </w:r>
            <w:r>
              <w:rPr>
                <w:rFonts w:cs="Arial"/>
                <w:noProof/>
                <w:sz w:val="18"/>
                <w:szCs w:val="18"/>
              </w:rPr>
              <w:t>sowie</w:t>
            </w:r>
            <w:r w:rsidRPr="00543CE8">
              <w:rPr>
                <w:rFonts w:cs="Arial"/>
                <w:noProof/>
                <w:sz w:val="18"/>
                <w:szCs w:val="18"/>
              </w:rPr>
              <w:t xml:space="preserve"> durch klimabezogenes Abstimmungsverhalten</w:t>
            </w:r>
          </w:p>
          <w:p w14:paraId="08BB961B" w14:textId="77777777" w:rsidR="00FC602A" w:rsidRDefault="00FC602A" w:rsidP="00FC602A">
            <w:pPr>
              <w:ind w:right="74"/>
              <w:jc w:val="both"/>
              <w:textAlignment w:val="baseline"/>
              <w:rPr>
                <w:rFonts w:eastAsia="Calibri" w:cs="Arial"/>
                <w:b/>
                <w:i/>
                <w:color w:val="000000"/>
                <w:spacing w:val="-2"/>
                <w:sz w:val="18"/>
                <w:szCs w:val="18"/>
              </w:rPr>
            </w:pPr>
          </w:p>
          <w:p w14:paraId="1F7A4C76" w14:textId="77777777" w:rsidR="00FC602A" w:rsidRDefault="00FC602A" w:rsidP="00FC602A">
            <w:pPr>
              <w:ind w:right="74"/>
              <w:jc w:val="both"/>
              <w:textAlignment w:val="baseline"/>
              <w:rPr>
                <w:rFonts w:eastAsia="Calibri" w:cs="Arial"/>
                <w:bCs/>
                <w:iCs/>
                <w:color w:val="000000"/>
                <w:spacing w:val="-2"/>
                <w:sz w:val="18"/>
                <w:szCs w:val="18"/>
              </w:rPr>
            </w:pPr>
            <w:r w:rsidRPr="00A97599">
              <w:rPr>
                <w:rFonts w:eastAsia="Calibri" w:cs="Arial"/>
                <w:bCs/>
                <w:iCs/>
                <w:color w:val="000000"/>
                <w:spacing w:val="-2"/>
                <w:sz w:val="18"/>
                <w:szCs w:val="18"/>
              </w:rPr>
              <w:t xml:space="preserve">Neben diesen Zielen hat </w:t>
            </w:r>
            <w:r>
              <w:rPr>
                <w:rFonts w:eastAsia="Calibri" w:cs="Arial"/>
                <w:bCs/>
                <w:iCs/>
                <w:color w:val="000000"/>
                <w:spacing w:val="-2"/>
                <w:sz w:val="18"/>
                <w:szCs w:val="18"/>
              </w:rPr>
              <w:t>sich die</w:t>
            </w:r>
            <w:r w:rsidRPr="00A97599">
              <w:rPr>
                <w:rFonts w:eastAsia="Calibri" w:cs="Arial"/>
                <w:bCs/>
                <w:iCs/>
                <w:color w:val="000000"/>
                <w:spacing w:val="-2"/>
                <w:sz w:val="18"/>
                <w:szCs w:val="18"/>
              </w:rPr>
              <w:t xml:space="preserve"> Versicherungskammer zum Umgang mit Investitionen in Unternehmen, die Umsätze aus der Förderung und Verstromung von Kohle generieren,</w:t>
            </w:r>
            <w:r>
              <w:rPr>
                <w:rFonts w:eastAsia="Calibri" w:cs="Arial"/>
                <w:bCs/>
                <w:iCs/>
                <w:color w:val="000000"/>
                <w:spacing w:val="-2"/>
                <w:sz w:val="18"/>
                <w:szCs w:val="18"/>
              </w:rPr>
              <w:t xml:space="preserve"> positioniert: Bis</w:t>
            </w:r>
            <w:r w:rsidRPr="00A97599">
              <w:rPr>
                <w:rFonts w:eastAsia="Calibri" w:cs="Arial"/>
                <w:bCs/>
                <w:iCs/>
                <w:color w:val="000000"/>
                <w:spacing w:val="-2"/>
                <w:sz w:val="18"/>
                <w:szCs w:val="18"/>
              </w:rPr>
              <w:t xml:space="preserve"> 2035 </w:t>
            </w:r>
            <w:r>
              <w:rPr>
                <w:rFonts w:eastAsia="Calibri" w:cs="Arial"/>
                <w:bCs/>
                <w:iCs/>
                <w:color w:val="000000"/>
                <w:spacing w:val="-2"/>
                <w:sz w:val="18"/>
                <w:szCs w:val="18"/>
              </w:rPr>
              <w:t>wird der Konzern stufenweise</w:t>
            </w:r>
            <w:r w:rsidRPr="00A97599">
              <w:rPr>
                <w:rFonts w:eastAsia="Calibri" w:cs="Arial"/>
                <w:bCs/>
                <w:iCs/>
                <w:color w:val="000000"/>
                <w:spacing w:val="-2"/>
                <w:sz w:val="18"/>
                <w:szCs w:val="18"/>
              </w:rPr>
              <w:t xml:space="preserve"> aus der Neuinvestition in Unternehmen aussteigen, die</w:t>
            </w:r>
            <w:r>
              <w:rPr>
                <w:rFonts w:eastAsia="Calibri" w:cs="Arial"/>
                <w:bCs/>
                <w:iCs/>
                <w:color w:val="000000"/>
                <w:spacing w:val="-2"/>
                <w:sz w:val="18"/>
                <w:szCs w:val="18"/>
              </w:rPr>
              <w:t xml:space="preserve"> </w:t>
            </w:r>
            <w:r w:rsidRPr="00A97599">
              <w:rPr>
                <w:rFonts w:eastAsia="Calibri" w:cs="Arial"/>
                <w:bCs/>
                <w:iCs/>
                <w:color w:val="000000"/>
                <w:spacing w:val="-2"/>
                <w:sz w:val="18"/>
                <w:szCs w:val="18"/>
              </w:rPr>
              <w:t>Umsätze aus der Kohleförderung und/oder -verstromung generieren. Bis spätestens Ende 2039</w:t>
            </w:r>
            <w:r>
              <w:rPr>
                <w:rFonts w:eastAsia="Calibri" w:cs="Arial"/>
                <w:bCs/>
                <w:iCs/>
                <w:color w:val="000000"/>
                <w:spacing w:val="-2"/>
                <w:sz w:val="18"/>
                <w:szCs w:val="18"/>
              </w:rPr>
              <w:t xml:space="preserve"> wird die Versicherungskammer </w:t>
            </w:r>
            <w:r w:rsidRPr="00A97599">
              <w:rPr>
                <w:rFonts w:eastAsia="Calibri" w:cs="Arial"/>
                <w:bCs/>
                <w:iCs/>
                <w:color w:val="000000"/>
                <w:spacing w:val="-2"/>
                <w:sz w:val="18"/>
                <w:szCs w:val="18"/>
              </w:rPr>
              <w:t xml:space="preserve">ebenso </w:t>
            </w:r>
            <w:r>
              <w:rPr>
                <w:rFonts w:eastAsia="Calibri" w:cs="Arial"/>
                <w:bCs/>
                <w:iCs/>
                <w:color w:val="000000"/>
                <w:spacing w:val="-2"/>
                <w:sz w:val="18"/>
                <w:szCs w:val="18"/>
              </w:rPr>
              <w:t>ihre</w:t>
            </w:r>
            <w:r w:rsidRPr="00A97599">
              <w:rPr>
                <w:rFonts w:eastAsia="Calibri" w:cs="Arial"/>
                <w:bCs/>
                <w:iCs/>
                <w:color w:val="000000"/>
                <w:spacing w:val="-2"/>
                <w:sz w:val="18"/>
                <w:szCs w:val="18"/>
              </w:rPr>
              <w:t xml:space="preserve"> Bestände in Kohleunternehmen veräußern. Dabei </w:t>
            </w:r>
            <w:r>
              <w:rPr>
                <w:rFonts w:eastAsia="Calibri" w:cs="Arial"/>
                <w:bCs/>
                <w:iCs/>
                <w:color w:val="000000"/>
                <w:spacing w:val="-2"/>
                <w:sz w:val="18"/>
                <w:szCs w:val="18"/>
              </w:rPr>
              <w:t>sollen</w:t>
            </w:r>
            <w:r w:rsidRPr="00A97599">
              <w:rPr>
                <w:rFonts w:eastAsia="Calibri" w:cs="Arial"/>
                <w:bCs/>
                <w:iCs/>
                <w:color w:val="000000"/>
                <w:spacing w:val="-2"/>
                <w:sz w:val="18"/>
                <w:szCs w:val="18"/>
              </w:rPr>
              <w:t xml:space="preserve"> Unternehmen </w:t>
            </w:r>
            <w:r>
              <w:rPr>
                <w:rFonts w:eastAsia="Calibri" w:cs="Arial"/>
                <w:bCs/>
                <w:iCs/>
                <w:color w:val="000000"/>
                <w:spacing w:val="-2"/>
                <w:sz w:val="18"/>
                <w:szCs w:val="18"/>
              </w:rPr>
              <w:t xml:space="preserve">allerdings auch </w:t>
            </w:r>
            <w:r w:rsidRPr="00A97599">
              <w:rPr>
                <w:rFonts w:eastAsia="Calibri" w:cs="Arial"/>
                <w:bCs/>
                <w:iCs/>
                <w:color w:val="000000"/>
                <w:spacing w:val="-2"/>
                <w:sz w:val="18"/>
                <w:szCs w:val="18"/>
              </w:rPr>
              <w:t>in ihren Transformationsbestrebungen hin zu einer kohlenstoffärmeren Zukunft unterstüt</w:t>
            </w:r>
            <w:r>
              <w:rPr>
                <w:rFonts w:eastAsia="Calibri" w:cs="Arial"/>
                <w:bCs/>
                <w:iCs/>
                <w:color w:val="000000"/>
                <w:spacing w:val="-2"/>
                <w:sz w:val="18"/>
                <w:szCs w:val="18"/>
              </w:rPr>
              <w:t>zt werden</w:t>
            </w:r>
            <w:r w:rsidRPr="00A97599">
              <w:rPr>
                <w:rFonts w:eastAsia="Calibri" w:cs="Arial"/>
                <w:bCs/>
                <w:iCs/>
                <w:color w:val="000000"/>
                <w:spacing w:val="-2"/>
                <w:sz w:val="18"/>
                <w:szCs w:val="18"/>
              </w:rPr>
              <w:t xml:space="preserve">. </w:t>
            </w:r>
          </w:p>
          <w:p w14:paraId="31D40101" w14:textId="77777777" w:rsidR="00FC602A" w:rsidRDefault="00FC602A" w:rsidP="00FC602A">
            <w:pPr>
              <w:ind w:right="74"/>
              <w:jc w:val="both"/>
              <w:textAlignment w:val="baseline"/>
              <w:rPr>
                <w:rFonts w:eastAsia="Calibri" w:cs="Arial"/>
                <w:bCs/>
                <w:iCs/>
                <w:color w:val="000000"/>
                <w:spacing w:val="-2"/>
                <w:sz w:val="18"/>
                <w:szCs w:val="18"/>
              </w:rPr>
            </w:pPr>
          </w:p>
          <w:p w14:paraId="5B9B4C5F" w14:textId="3984254E" w:rsidR="00FB4811" w:rsidRDefault="00FC602A" w:rsidP="00FC602A">
            <w:pPr>
              <w:ind w:left="28" w:right="74"/>
              <w:jc w:val="both"/>
              <w:textAlignment w:val="baseline"/>
              <w:rPr>
                <w:rFonts w:eastAsia="Calibri" w:cs="Arial"/>
                <w:b/>
                <w:i/>
                <w:color w:val="000000"/>
                <w:spacing w:val="-2"/>
                <w:sz w:val="18"/>
                <w:szCs w:val="18"/>
              </w:rPr>
            </w:pPr>
            <w:r>
              <w:rPr>
                <w:rFonts w:cs="Arial"/>
                <w:noProof/>
                <w:sz w:val="18"/>
                <w:szCs w:val="18"/>
              </w:rPr>
              <w:t>Neben dem Fokus auf diese Umweltthemen hat der Konzern Versicherungskammer ebenso seinen Mindeststandard (Ausschlusskriterien) für die Kapitalanlagen im Berichtsjahr weiterentwickelt. So wurden zum 01.05.23 neue Ausschlusskriterien eingeführt: Tabakhersteller sowie Staaten, die politische Rechte und bürgerliche Freiheiten für ihre BürgerInnen nicht garantieren und somit als „not free“ nach dem Freedom House Index eingestuft werden, sind vom Investitionsunternehmen ausgeschlossen</w:t>
            </w:r>
            <w:r w:rsidRPr="00AD246D">
              <w:rPr>
                <w:rFonts w:cs="Arial"/>
                <w:noProof/>
                <w:sz w:val="18"/>
                <w:szCs w:val="18"/>
              </w:rPr>
              <w:t xml:space="preserve">. </w:t>
            </w:r>
            <w:r w:rsidRPr="00AD246D">
              <w:rPr>
                <w:rFonts w:eastAsia="Calibri" w:cs="Arial"/>
                <w:bCs/>
                <w:iCs/>
                <w:color w:val="000000"/>
                <w:spacing w:val="-2"/>
                <w:sz w:val="18"/>
                <w:szCs w:val="18"/>
              </w:rPr>
              <w:t xml:space="preserve">Die Erweiterung des Konzernmindeststandards im Bezugszeitraum 2023 gilt auch für im Anlagekonzept </w:t>
            </w:r>
            <w:r>
              <w:rPr>
                <w:rFonts w:eastAsia="Calibri" w:cs="Arial"/>
                <w:bCs/>
                <w:iCs/>
                <w:color w:val="000000"/>
                <w:spacing w:val="-2"/>
                <w:sz w:val="18"/>
                <w:szCs w:val="18"/>
              </w:rPr>
              <w:t>ROK Zukunft</w:t>
            </w:r>
            <w:r w:rsidRPr="00AD246D">
              <w:rPr>
                <w:rFonts w:eastAsia="Calibri" w:cs="Arial"/>
                <w:bCs/>
                <w:iCs/>
                <w:color w:val="000000"/>
                <w:spacing w:val="-2"/>
                <w:sz w:val="18"/>
                <w:szCs w:val="18"/>
              </w:rPr>
              <w:t xml:space="preserve"> getätigte Investitionen.</w:t>
            </w:r>
          </w:p>
        </w:tc>
      </w:tr>
      <w:tr w:rsidR="00EA5280" w14:paraId="227A6C54" w14:textId="77777777" w:rsidTr="00EA5280">
        <w:trPr>
          <w:trHeight w:val="514"/>
        </w:trPr>
        <w:tc>
          <w:tcPr>
            <w:tcW w:w="1702" w:type="dxa"/>
            <w:shd w:val="clear" w:color="auto" w:fill="auto"/>
          </w:tcPr>
          <w:p w14:paraId="5C2F5C4D" w14:textId="77777777" w:rsidR="00EA5280" w:rsidRDefault="00EA5280">
            <w:pPr>
              <w:suppressAutoHyphens w:val="0"/>
              <w:spacing w:before="55" w:line="220" w:lineRule="exact"/>
              <w:ind w:left="72" w:right="144"/>
              <w:textAlignment w:val="baseline"/>
              <w:rPr>
                <w:rFonts w:eastAsia="Calibri" w:cs="Arial"/>
                <w:i/>
                <w:color w:val="C00000"/>
                <w:sz w:val="18"/>
                <w:szCs w:val="18"/>
                <w:lang w:eastAsia="en-US"/>
              </w:rPr>
            </w:pPr>
          </w:p>
        </w:tc>
        <w:tc>
          <w:tcPr>
            <w:tcW w:w="572" w:type="dxa"/>
          </w:tcPr>
          <w:p w14:paraId="1FF4ED30" w14:textId="77777777" w:rsidR="00EA5280" w:rsidRDefault="00EA5280">
            <w:pPr>
              <w:spacing w:line="245" w:lineRule="exact"/>
              <w:jc w:val="both"/>
              <w:textAlignment w:val="baseline"/>
              <w:rPr>
                <w:rFonts w:cs="Arial"/>
                <w:noProof/>
                <w:sz w:val="18"/>
                <w:szCs w:val="18"/>
              </w:rPr>
            </w:pPr>
          </w:p>
        </w:tc>
        <w:tc>
          <w:tcPr>
            <w:tcW w:w="8216" w:type="dxa"/>
            <w:shd w:val="clear" w:color="auto" w:fill="auto"/>
          </w:tcPr>
          <w:p w14:paraId="123BFD8B" w14:textId="77777777" w:rsidR="00EA5280" w:rsidRDefault="00EA5280">
            <w:pPr>
              <w:ind w:left="28" w:right="74"/>
              <w:jc w:val="both"/>
              <w:textAlignment w:val="baseline"/>
              <w:rPr>
                <w:rFonts w:eastAsia="Calibri" w:cs="Arial"/>
                <w:b/>
                <w:color w:val="000000"/>
                <w:spacing w:val="-2"/>
                <w:sz w:val="18"/>
                <w:szCs w:val="18"/>
              </w:rPr>
            </w:pPr>
          </w:p>
        </w:tc>
      </w:tr>
      <w:tr w:rsidR="00EA5280" w14:paraId="20F966A4" w14:textId="77777777" w:rsidTr="00EA5280">
        <w:trPr>
          <w:trHeight w:val="1692"/>
        </w:trPr>
        <w:tc>
          <w:tcPr>
            <w:tcW w:w="2275" w:type="dxa"/>
            <w:gridSpan w:val="2"/>
            <w:shd w:val="clear" w:color="auto" w:fill="F2F2F2" w:themeFill="background1" w:themeFillShade="F2"/>
          </w:tcPr>
          <w:p w14:paraId="5126B35F" w14:textId="77777777" w:rsidR="00EA5280" w:rsidRDefault="00EA5280" w:rsidP="00D65A44">
            <w:pPr>
              <w:textAlignment w:val="baseline"/>
              <w:rPr>
                <w:rFonts w:cs="Arial"/>
                <w:noProof/>
                <w:sz w:val="18"/>
                <w:szCs w:val="18"/>
              </w:rPr>
            </w:pPr>
            <w:r w:rsidRPr="00907CB0">
              <w:rPr>
                <w:rFonts w:cs="Arial"/>
                <w:noProof/>
                <w:sz w:val="18"/>
                <w:szCs w:val="18"/>
              </w:rPr>
              <w:drawing>
                <wp:anchor distT="0" distB="0" distL="114300" distR="114300" simplePos="0" relativeHeight="251748352" behindDoc="0" locked="0" layoutInCell="1" allowOverlap="1" wp14:anchorId="1AE36D42" wp14:editId="21E341FD">
                  <wp:simplePos x="0" y="0"/>
                  <wp:positionH relativeFrom="column">
                    <wp:posOffset>-68526</wp:posOffset>
                  </wp:positionH>
                  <wp:positionV relativeFrom="paragraph">
                    <wp:posOffset>6157</wp:posOffset>
                  </wp:positionV>
                  <wp:extent cx="1478943" cy="558376"/>
                  <wp:effectExtent l="0" t="0" r="6985"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485220" cy="560746"/>
                          </a:xfrm>
                          <a:prstGeom prst="rect">
                            <a:avLst/>
                          </a:prstGeom>
                        </pic:spPr>
                      </pic:pic>
                    </a:graphicData>
                  </a:graphic>
                  <wp14:sizeRelH relativeFrom="margin">
                    <wp14:pctWidth>0</wp14:pctWidth>
                  </wp14:sizeRelH>
                  <wp14:sizeRelV relativeFrom="margin">
                    <wp14:pctHeight>0</wp14:pctHeight>
                  </wp14:sizeRelV>
                </wp:anchor>
              </w:drawing>
            </w:r>
            <w:r w:rsidRPr="00907CB0">
              <w:rPr>
                <w:rFonts w:eastAsia="Calibri" w:cs="Arial"/>
                <w:color w:val="000000"/>
                <w:spacing w:val="3"/>
                <w:szCs w:val="15"/>
              </w:rPr>
              <w:t xml:space="preserve">Bei den </w:t>
            </w:r>
            <w:r w:rsidRPr="00E06B6C">
              <w:rPr>
                <w:rFonts w:eastAsia="Calibri" w:cs="Arial"/>
                <w:b/>
                <w:bCs/>
                <w:color w:val="000000"/>
                <w:spacing w:val="3"/>
                <w:szCs w:val="15"/>
              </w:rPr>
              <w:t>Referenzwerten</w:t>
            </w:r>
            <w:r w:rsidRPr="00907CB0">
              <w:rPr>
                <w:rFonts w:eastAsia="Calibri" w:cs="Arial"/>
                <w:color w:val="000000"/>
                <w:spacing w:val="3"/>
                <w:szCs w:val="15"/>
              </w:rPr>
              <w:t xml:space="preserve"> handelt es sich um Indizes, mit denen gemessen wird, ob das Finanzprodukt die</w:t>
            </w:r>
            <w:r>
              <w:rPr>
                <w:rFonts w:eastAsia="Calibri" w:cs="Arial"/>
                <w:color w:val="000000"/>
                <w:spacing w:val="3"/>
                <w:szCs w:val="15"/>
              </w:rPr>
              <w:t xml:space="preserve"> </w:t>
            </w:r>
            <w:r w:rsidRPr="00907CB0">
              <w:rPr>
                <w:rFonts w:eastAsia="Calibri" w:cs="Arial"/>
                <w:color w:val="000000"/>
                <w:spacing w:val="3"/>
                <w:szCs w:val="15"/>
              </w:rPr>
              <w:t xml:space="preserve">beworbenen ökologischen oder sozialen Merkmale </w:t>
            </w:r>
            <w:r w:rsidRPr="00907CB0">
              <w:rPr>
                <w:rFonts w:eastAsia="Calibri" w:cs="Arial"/>
                <w:color w:val="000000"/>
                <w:spacing w:val="3"/>
                <w:szCs w:val="15"/>
              </w:rPr>
              <w:br/>
              <w:t>erreicht.</w:t>
            </w:r>
          </w:p>
        </w:tc>
        <w:tc>
          <w:tcPr>
            <w:tcW w:w="8220" w:type="dxa"/>
            <w:shd w:val="clear" w:color="auto" w:fill="auto"/>
          </w:tcPr>
          <w:p w14:paraId="54BC2DDF" w14:textId="77777777" w:rsidR="00EA5280" w:rsidRDefault="00EA5280" w:rsidP="00D65A44">
            <w:pPr>
              <w:ind w:left="28" w:right="74"/>
              <w:jc w:val="both"/>
              <w:textAlignment w:val="baseline"/>
              <w:rPr>
                <w:rFonts w:eastAsia="Calibri" w:cs="Arial"/>
                <w:b/>
                <w:color w:val="000000"/>
                <w:spacing w:val="-2"/>
                <w:sz w:val="18"/>
                <w:szCs w:val="18"/>
              </w:rPr>
            </w:pPr>
            <w:r w:rsidRPr="00907CB0">
              <w:rPr>
                <w:rFonts w:eastAsia="Calibri" w:cs="Arial"/>
                <w:b/>
                <w:color w:val="000000"/>
                <w:spacing w:val="-2"/>
                <w:sz w:val="18"/>
                <w:szCs w:val="18"/>
              </w:rPr>
              <w:t>Wie hat dieses Finanzprodukt im Vergleich zum bestimmten Referenzwert abgeschnitten</w:t>
            </w:r>
            <w:r>
              <w:rPr>
                <w:rFonts w:eastAsia="Calibri" w:cs="Arial"/>
                <w:b/>
                <w:color w:val="000000"/>
                <w:spacing w:val="-2"/>
                <w:sz w:val="18"/>
                <w:szCs w:val="18"/>
              </w:rPr>
              <w:t>?</w:t>
            </w:r>
          </w:p>
          <w:p w14:paraId="5238AAD0" w14:textId="7EF9E444" w:rsidR="00EA5280" w:rsidRPr="00033C4C" w:rsidRDefault="00EA5280" w:rsidP="00755024">
            <w:pPr>
              <w:spacing w:before="240"/>
              <w:ind w:left="431"/>
              <w:textAlignment w:val="baseline"/>
              <w:rPr>
                <w:rFonts w:eastAsia="Arial"/>
                <w:b/>
                <w:i/>
                <w:color w:val="000000"/>
                <w:spacing w:val="6"/>
                <w:sz w:val="18"/>
                <w:szCs w:val="18"/>
              </w:rPr>
            </w:pPr>
            <w:r>
              <w:rPr>
                <w:rFonts w:cs="Arial"/>
                <w:noProof/>
                <w:sz w:val="18"/>
                <w:szCs w:val="18"/>
              </w:rPr>
              <w:drawing>
                <wp:anchor distT="0" distB="0" distL="114300" distR="114300" simplePos="0" relativeHeight="251749376" behindDoc="1" locked="0" layoutInCell="1" allowOverlap="1" wp14:anchorId="2667458D" wp14:editId="62E4065E">
                  <wp:simplePos x="0" y="0"/>
                  <wp:positionH relativeFrom="column">
                    <wp:posOffset>3810</wp:posOffset>
                  </wp:positionH>
                  <wp:positionV relativeFrom="paragraph">
                    <wp:posOffset>108935</wp:posOffset>
                  </wp:positionV>
                  <wp:extent cx="245533" cy="203200"/>
                  <wp:effectExtent l="0" t="0" r="2540" b="6350"/>
                  <wp:wrapTight wrapText="bothSides">
                    <wp:wrapPolygon edited="0">
                      <wp:start x="0" y="0"/>
                      <wp:lineTo x="0" y="20250"/>
                      <wp:lineTo x="20145" y="20250"/>
                      <wp:lineTo x="20145"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sidRPr="00033C4C">
              <w:rPr>
                <w:rFonts w:eastAsia="Arial"/>
                <w:b/>
                <w:i/>
                <w:color w:val="000000"/>
                <w:spacing w:val="6"/>
                <w:sz w:val="18"/>
                <w:szCs w:val="18"/>
              </w:rPr>
              <w:t>Wie unterscheidet sich der Referenzwert von einem breiten Marktindex?</w:t>
            </w:r>
            <w:r>
              <w:rPr>
                <w:rFonts w:eastAsia="Arial"/>
                <w:b/>
                <w:i/>
                <w:color w:val="000000"/>
                <w:spacing w:val="6"/>
                <w:sz w:val="18"/>
                <w:szCs w:val="18"/>
              </w:rPr>
              <w:br/>
            </w:r>
            <w:r w:rsidR="007E5C0B" w:rsidRPr="007E5C0B">
              <w:rPr>
                <w:rFonts w:cs="Arial"/>
                <w:noProof/>
                <w:sz w:val="18"/>
                <w:szCs w:val="18"/>
              </w:rPr>
              <w:t xml:space="preserve">Beim Referenzwert handelt es sich um den MSCI World – einen breiten Marktindex aus </w:t>
            </w:r>
            <w:r w:rsidR="007E5C0B">
              <w:rPr>
                <w:rFonts w:cs="Arial"/>
                <w:noProof/>
                <w:sz w:val="18"/>
                <w:szCs w:val="18"/>
              </w:rPr>
              <w:tab/>
            </w:r>
            <w:r w:rsidR="00755024">
              <w:rPr>
                <w:rFonts w:cs="Arial"/>
                <w:noProof/>
                <w:sz w:val="18"/>
                <w:szCs w:val="18"/>
              </w:rPr>
              <w:tab/>
            </w:r>
            <w:r w:rsidR="007E5C0B" w:rsidRPr="007E5C0B">
              <w:rPr>
                <w:rFonts w:cs="Arial"/>
                <w:noProof/>
                <w:sz w:val="18"/>
                <w:szCs w:val="18"/>
              </w:rPr>
              <w:t>globalen Aktien</w:t>
            </w:r>
            <w:r w:rsidR="007E5C0B">
              <w:rPr>
                <w:rFonts w:cs="Arial"/>
                <w:noProof/>
                <w:sz w:val="18"/>
                <w:szCs w:val="18"/>
              </w:rPr>
              <w:t>.</w:t>
            </w:r>
          </w:p>
          <w:p w14:paraId="62FDCF7E" w14:textId="4939AD48" w:rsidR="00EA5280" w:rsidRDefault="00EA5280" w:rsidP="00755024">
            <w:pPr>
              <w:spacing w:before="240"/>
              <w:ind w:left="431"/>
              <w:textAlignment w:val="baseline"/>
              <w:rPr>
                <w:rFonts w:cs="Arial"/>
                <w:noProof/>
                <w:sz w:val="18"/>
                <w:szCs w:val="18"/>
              </w:rPr>
            </w:pPr>
            <w:r>
              <w:rPr>
                <w:rFonts w:cs="Arial"/>
                <w:noProof/>
                <w:sz w:val="18"/>
                <w:szCs w:val="18"/>
              </w:rPr>
              <w:drawing>
                <wp:anchor distT="0" distB="0" distL="114300" distR="114300" simplePos="0" relativeHeight="251750400" behindDoc="1" locked="0" layoutInCell="1" allowOverlap="1" wp14:anchorId="60D51D50" wp14:editId="6AD265BE">
                  <wp:simplePos x="0" y="0"/>
                  <wp:positionH relativeFrom="column">
                    <wp:posOffset>12436</wp:posOffset>
                  </wp:positionH>
                  <wp:positionV relativeFrom="paragraph">
                    <wp:posOffset>233991</wp:posOffset>
                  </wp:positionV>
                  <wp:extent cx="245533" cy="203200"/>
                  <wp:effectExtent l="0" t="0" r="2540" b="6350"/>
                  <wp:wrapTight wrapText="bothSides">
                    <wp:wrapPolygon edited="0">
                      <wp:start x="0" y="0"/>
                      <wp:lineTo x="0" y="20250"/>
                      <wp:lineTo x="20145" y="20250"/>
                      <wp:lineTo x="2014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sidRPr="00033C4C">
              <w:rPr>
                <w:rFonts w:eastAsia="Arial"/>
                <w:b/>
                <w:i/>
                <w:color w:val="000000"/>
                <w:sz w:val="18"/>
                <w:szCs w:val="18"/>
              </w:rPr>
              <w:t>Wie hat dieses Finanzprodukt in Bezug auf die Nachhaltigkeitsindikatoren abgeschnitten, mit denen die Ausrichtung des Referenzwerts auf die beworbenen ökologischen oder sozialen Merkmale bestimmt wird?</w:t>
            </w:r>
            <w:r>
              <w:rPr>
                <w:rFonts w:eastAsia="Arial"/>
                <w:b/>
                <w:i/>
                <w:color w:val="000000"/>
                <w:sz w:val="18"/>
                <w:szCs w:val="18"/>
              </w:rPr>
              <w:br/>
            </w:r>
            <w:r w:rsidR="007E5C0B">
              <w:rPr>
                <w:rFonts w:eastAsia="Arial"/>
                <w:b/>
                <w:i/>
                <w:color w:val="000000"/>
                <w:sz w:val="18"/>
                <w:szCs w:val="18"/>
              </w:rPr>
              <w:tab/>
            </w:r>
            <w:r w:rsidR="007E5C0B" w:rsidRPr="007E5C0B">
              <w:rPr>
                <w:rFonts w:cs="Arial"/>
                <w:noProof/>
                <w:sz w:val="18"/>
                <w:szCs w:val="18"/>
              </w:rPr>
              <w:t xml:space="preserve">Das Anlageziel bestand darin, einen niedrigeren CO2-Fußabdruck im Vergleich zu einer </w:t>
            </w:r>
            <w:r w:rsidR="007E5C0B">
              <w:rPr>
                <w:rFonts w:cs="Arial"/>
                <w:noProof/>
                <w:sz w:val="18"/>
                <w:szCs w:val="18"/>
              </w:rPr>
              <w:tab/>
            </w:r>
            <w:r w:rsidR="007E5C0B" w:rsidRPr="007E5C0B">
              <w:rPr>
                <w:rFonts w:cs="Arial"/>
                <w:noProof/>
                <w:sz w:val="18"/>
                <w:szCs w:val="18"/>
              </w:rPr>
              <w:t xml:space="preserve">globalen Benchmark zu erreichen. Weitere Einzelheiten hierzu finden Sie unter dem Abschnitt </w:t>
            </w:r>
            <w:r w:rsidR="007E5C0B">
              <w:rPr>
                <w:rFonts w:cs="Arial"/>
                <w:noProof/>
                <w:sz w:val="18"/>
                <w:szCs w:val="18"/>
              </w:rPr>
              <w:tab/>
            </w:r>
            <w:r w:rsidR="007E5C0B" w:rsidRPr="007E5C0B">
              <w:rPr>
                <w:rFonts w:cs="Arial"/>
                <w:noProof/>
                <w:sz w:val="18"/>
                <w:szCs w:val="18"/>
              </w:rPr>
              <w:t>„Wie haben die Nachhaltigkeitsindikatoren abgeschnitten?“.</w:t>
            </w:r>
          </w:p>
          <w:p w14:paraId="15448B07" w14:textId="1C4D652E" w:rsidR="007E5C0B" w:rsidRDefault="00EA5280" w:rsidP="00D65A44">
            <w:pPr>
              <w:spacing w:before="240" w:line="185" w:lineRule="exact"/>
              <w:ind w:left="431"/>
              <w:textAlignment w:val="baseline"/>
              <w:rPr>
                <w:rFonts w:eastAsia="Arial"/>
                <w:b/>
                <w:i/>
                <w:color w:val="000000"/>
                <w:spacing w:val="5"/>
                <w:sz w:val="18"/>
                <w:szCs w:val="18"/>
              </w:rPr>
            </w:pPr>
            <w:r>
              <w:rPr>
                <w:rFonts w:cs="Arial"/>
                <w:noProof/>
                <w:sz w:val="18"/>
                <w:szCs w:val="18"/>
              </w:rPr>
              <w:drawing>
                <wp:anchor distT="0" distB="0" distL="114300" distR="114300" simplePos="0" relativeHeight="251751424" behindDoc="1" locked="0" layoutInCell="1" allowOverlap="1" wp14:anchorId="24962881" wp14:editId="2F9CA7B8">
                  <wp:simplePos x="0" y="0"/>
                  <wp:positionH relativeFrom="column">
                    <wp:posOffset>21062</wp:posOffset>
                  </wp:positionH>
                  <wp:positionV relativeFrom="paragraph">
                    <wp:posOffset>104703</wp:posOffset>
                  </wp:positionV>
                  <wp:extent cx="245533" cy="203200"/>
                  <wp:effectExtent l="0" t="0" r="2540" b="6350"/>
                  <wp:wrapTight wrapText="bothSides">
                    <wp:wrapPolygon edited="0">
                      <wp:start x="0" y="0"/>
                      <wp:lineTo x="0" y="20250"/>
                      <wp:lineTo x="20145" y="20250"/>
                      <wp:lineTo x="20145"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sidR="00755024">
              <w:rPr>
                <w:rFonts w:eastAsia="Arial"/>
                <w:b/>
                <w:i/>
                <w:color w:val="000000"/>
                <w:spacing w:val="5"/>
                <w:sz w:val="18"/>
                <w:szCs w:val="18"/>
              </w:rPr>
              <w:t>W</w:t>
            </w:r>
            <w:r w:rsidRPr="00033C4C">
              <w:rPr>
                <w:rFonts w:eastAsia="Arial"/>
                <w:b/>
                <w:i/>
                <w:color w:val="000000"/>
                <w:spacing w:val="5"/>
                <w:sz w:val="18"/>
                <w:szCs w:val="18"/>
              </w:rPr>
              <w:t>ie hat dieses Finanzprodukt im Vergleich zum Referenzwert abgeschnitten?</w:t>
            </w:r>
          </w:p>
          <w:p w14:paraId="019640F9" w14:textId="43D06487" w:rsidR="007E5C0B" w:rsidRPr="007E5C0B" w:rsidRDefault="007E5C0B" w:rsidP="00755024">
            <w:pPr>
              <w:pStyle w:val="Default"/>
              <w:jc w:val="both"/>
              <w:rPr>
                <w:rFonts w:ascii="Arial" w:eastAsia="Times New Roman" w:hAnsi="Arial" w:cs="Arial"/>
                <w:noProof/>
                <w:color w:val="auto"/>
                <w:sz w:val="18"/>
                <w:szCs w:val="18"/>
                <w:lang w:eastAsia="de-DE"/>
                <w14:ligatures w14:val="none"/>
              </w:rPr>
            </w:pPr>
            <w:r w:rsidRPr="007E5C0B">
              <w:rPr>
                <w:rFonts w:ascii="Arial" w:eastAsia="Times New Roman" w:hAnsi="Arial" w:cs="Arial"/>
                <w:noProof/>
                <w:color w:val="auto"/>
                <w:sz w:val="18"/>
                <w:szCs w:val="18"/>
                <w:lang w:eastAsia="de-DE"/>
                <w14:ligatures w14:val="none"/>
              </w:rPr>
              <w:t xml:space="preserve">Das Finanzprodukt weist einen niedrigeren CO2-Fußabdruck im Vergleich zum Referenzwert </w:t>
            </w:r>
            <w:r>
              <w:rPr>
                <w:rFonts w:ascii="Arial" w:eastAsia="Times New Roman" w:hAnsi="Arial" w:cs="Arial"/>
                <w:noProof/>
                <w:color w:val="auto"/>
                <w:sz w:val="18"/>
                <w:szCs w:val="18"/>
                <w:lang w:eastAsia="de-DE"/>
                <w14:ligatures w14:val="none"/>
              </w:rPr>
              <w:tab/>
            </w:r>
            <w:r>
              <w:rPr>
                <w:rFonts w:ascii="Arial" w:eastAsia="Times New Roman" w:hAnsi="Arial" w:cs="Arial"/>
                <w:noProof/>
                <w:color w:val="auto"/>
                <w:sz w:val="18"/>
                <w:szCs w:val="18"/>
                <w:lang w:eastAsia="de-DE"/>
                <w14:ligatures w14:val="none"/>
              </w:rPr>
              <w:tab/>
            </w:r>
            <w:r>
              <w:rPr>
                <w:rFonts w:ascii="Arial" w:eastAsia="Times New Roman" w:hAnsi="Arial" w:cs="Arial"/>
                <w:noProof/>
                <w:color w:val="auto"/>
                <w:sz w:val="18"/>
                <w:szCs w:val="18"/>
                <w:lang w:eastAsia="de-DE"/>
                <w14:ligatures w14:val="none"/>
              </w:rPr>
              <w:tab/>
            </w:r>
            <w:r w:rsidRPr="007E5C0B">
              <w:rPr>
                <w:rFonts w:ascii="Arial" w:eastAsia="Times New Roman" w:hAnsi="Arial" w:cs="Arial"/>
                <w:noProof/>
                <w:color w:val="auto"/>
                <w:sz w:val="18"/>
                <w:szCs w:val="18"/>
                <w:lang w:eastAsia="de-DE"/>
                <w14:ligatures w14:val="none"/>
              </w:rPr>
              <w:t xml:space="preserve">der Benchmark auf. Weitere Einzelheiten hierzu finden Sie unter dem Abschnitt „Wie haben </w:t>
            </w:r>
            <w:r>
              <w:rPr>
                <w:rFonts w:ascii="Arial" w:eastAsia="Times New Roman" w:hAnsi="Arial" w:cs="Arial"/>
                <w:noProof/>
                <w:color w:val="auto"/>
                <w:sz w:val="18"/>
                <w:szCs w:val="18"/>
                <w:lang w:eastAsia="de-DE"/>
                <w14:ligatures w14:val="none"/>
              </w:rPr>
              <w:tab/>
            </w:r>
            <w:r>
              <w:rPr>
                <w:rFonts w:ascii="Arial" w:eastAsia="Times New Roman" w:hAnsi="Arial" w:cs="Arial"/>
                <w:noProof/>
                <w:color w:val="auto"/>
                <w:sz w:val="18"/>
                <w:szCs w:val="18"/>
                <w:lang w:eastAsia="de-DE"/>
                <w14:ligatures w14:val="none"/>
              </w:rPr>
              <w:tab/>
            </w:r>
            <w:r>
              <w:rPr>
                <w:rFonts w:ascii="Arial" w:eastAsia="Times New Roman" w:hAnsi="Arial" w:cs="Arial"/>
                <w:noProof/>
                <w:color w:val="auto"/>
                <w:sz w:val="18"/>
                <w:szCs w:val="18"/>
                <w:lang w:eastAsia="de-DE"/>
                <w14:ligatures w14:val="none"/>
              </w:rPr>
              <w:tab/>
            </w:r>
            <w:r>
              <w:rPr>
                <w:rFonts w:ascii="Arial" w:eastAsia="Times New Roman" w:hAnsi="Arial" w:cs="Arial"/>
                <w:noProof/>
                <w:color w:val="auto"/>
                <w:sz w:val="18"/>
                <w:szCs w:val="18"/>
                <w:lang w:eastAsia="de-DE"/>
                <w14:ligatures w14:val="none"/>
              </w:rPr>
              <w:tab/>
            </w:r>
            <w:r w:rsidRPr="007E5C0B">
              <w:rPr>
                <w:rFonts w:ascii="Arial" w:eastAsia="Times New Roman" w:hAnsi="Arial" w:cs="Arial"/>
                <w:noProof/>
                <w:color w:val="auto"/>
                <w:sz w:val="18"/>
                <w:szCs w:val="18"/>
                <w:lang w:eastAsia="de-DE"/>
                <w14:ligatures w14:val="none"/>
              </w:rPr>
              <w:t>die Nachhaltigkeitsindikatoren abgeschnitten?“.</w:t>
            </w:r>
          </w:p>
          <w:p w14:paraId="39DAD3F0" w14:textId="058D3B0C" w:rsidR="00EA5280" w:rsidRDefault="00EA5280" w:rsidP="00755024">
            <w:pPr>
              <w:spacing w:before="240"/>
              <w:ind w:left="431"/>
              <w:textAlignment w:val="baseline"/>
              <w:rPr>
                <w:rFonts w:eastAsia="Arial"/>
                <w:b/>
                <w:i/>
                <w:color w:val="000000"/>
                <w:spacing w:val="6"/>
                <w:sz w:val="18"/>
                <w:szCs w:val="18"/>
              </w:rPr>
            </w:pPr>
            <w:r>
              <w:rPr>
                <w:rFonts w:cs="Arial"/>
                <w:noProof/>
                <w:sz w:val="18"/>
                <w:szCs w:val="18"/>
              </w:rPr>
              <w:lastRenderedPageBreak/>
              <w:drawing>
                <wp:anchor distT="0" distB="0" distL="114300" distR="114300" simplePos="0" relativeHeight="251752448" behindDoc="1" locked="0" layoutInCell="1" allowOverlap="1" wp14:anchorId="27DB02EE" wp14:editId="180C2A12">
                  <wp:simplePos x="0" y="0"/>
                  <wp:positionH relativeFrom="column">
                    <wp:posOffset>19422</wp:posOffset>
                  </wp:positionH>
                  <wp:positionV relativeFrom="paragraph">
                    <wp:posOffset>95250</wp:posOffset>
                  </wp:positionV>
                  <wp:extent cx="245533" cy="203200"/>
                  <wp:effectExtent l="0" t="0" r="2540" b="6350"/>
                  <wp:wrapTight wrapText="bothSides">
                    <wp:wrapPolygon edited="0">
                      <wp:start x="0" y="0"/>
                      <wp:lineTo x="0" y="20250"/>
                      <wp:lineTo x="20145" y="20250"/>
                      <wp:lineTo x="20145"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533" cy="203200"/>
                          </a:xfrm>
                          <a:prstGeom prst="rect">
                            <a:avLst/>
                          </a:prstGeom>
                        </pic:spPr>
                      </pic:pic>
                    </a:graphicData>
                  </a:graphic>
                  <wp14:sizeRelH relativeFrom="margin">
                    <wp14:pctWidth>0</wp14:pctWidth>
                  </wp14:sizeRelH>
                  <wp14:sizeRelV relativeFrom="margin">
                    <wp14:pctHeight>0</wp14:pctHeight>
                  </wp14:sizeRelV>
                </wp:anchor>
              </w:drawing>
            </w:r>
            <w:r w:rsidRPr="00033C4C">
              <w:rPr>
                <w:rFonts w:eastAsia="Arial"/>
                <w:b/>
                <w:i/>
                <w:color w:val="000000"/>
                <w:spacing w:val="6"/>
                <w:sz w:val="18"/>
                <w:szCs w:val="18"/>
              </w:rPr>
              <w:t>Wie hat dieses Finanzprodukt im Vergleich zum breiten Marktindex abgeschnitten?</w:t>
            </w:r>
            <w:r>
              <w:rPr>
                <w:rFonts w:eastAsia="Arial"/>
                <w:b/>
                <w:i/>
                <w:color w:val="000000"/>
                <w:spacing w:val="6"/>
                <w:sz w:val="18"/>
                <w:szCs w:val="18"/>
              </w:rPr>
              <w:br/>
            </w:r>
            <w:r w:rsidR="007E5C0B">
              <w:rPr>
                <w:rFonts w:cs="Arial"/>
                <w:noProof/>
                <w:sz w:val="18"/>
                <w:szCs w:val="18"/>
              </w:rPr>
              <w:tab/>
            </w:r>
            <w:r w:rsidR="007E5C0B" w:rsidRPr="007E5C0B">
              <w:rPr>
                <w:rFonts w:cs="Arial"/>
                <w:noProof/>
                <w:sz w:val="18"/>
                <w:szCs w:val="18"/>
              </w:rPr>
              <w:t xml:space="preserve">Das Finanzprodukt referenziert auf einen breiten Marktindex und weist einen niedrigeren </w:t>
            </w:r>
            <w:r w:rsidR="007E5C0B">
              <w:rPr>
                <w:rFonts w:cs="Arial"/>
                <w:noProof/>
                <w:sz w:val="18"/>
                <w:szCs w:val="18"/>
              </w:rPr>
              <w:tab/>
            </w:r>
            <w:r w:rsidR="007E5C0B" w:rsidRPr="007E5C0B">
              <w:rPr>
                <w:rFonts w:cs="Arial"/>
                <w:noProof/>
                <w:sz w:val="18"/>
                <w:szCs w:val="18"/>
              </w:rPr>
              <w:t>CO2-Fußabdruck im Vergleich zum Referenzwert der Benchmark (MSCI World) auf.</w:t>
            </w:r>
            <w:r w:rsidR="007E5C0B">
              <w:rPr>
                <w:rFonts w:cs="Arial"/>
                <w:noProof/>
                <w:sz w:val="18"/>
                <w:szCs w:val="18"/>
              </w:rPr>
              <w:t xml:space="preserve"> </w:t>
            </w:r>
            <w:r w:rsidR="007E5C0B" w:rsidRPr="007E5C0B">
              <w:rPr>
                <w:rFonts w:cs="Arial"/>
                <w:noProof/>
                <w:sz w:val="18"/>
                <w:szCs w:val="18"/>
              </w:rPr>
              <w:t xml:space="preserve">Weitere </w:t>
            </w:r>
            <w:r w:rsidR="007E5C0B">
              <w:rPr>
                <w:rFonts w:cs="Arial"/>
                <w:noProof/>
                <w:sz w:val="18"/>
                <w:szCs w:val="18"/>
              </w:rPr>
              <w:tab/>
            </w:r>
            <w:r w:rsidR="007E5C0B" w:rsidRPr="007E5C0B">
              <w:rPr>
                <w:rFonts w:cs="Arial"/>
                <w:noProof/>
                <w:sz w:val="18"/>
                <w:szCs w:val="18"/>
              </w:rPr>
              <w:t xml:space="preserve">Einzelheiten hierzu finden Sie unter dem Abschnitt „Wie haben die Nachhaltigkeitsindikatoren </w:t>
            </w:r>
            <w:r w:rsidR="007E5C0B">
              <w:rPr>
                <w:rFonts w:cs="Arial"/>
                <w:noProof/>
                <w:sz w:val="18"/>
                <w:szCs w:val="18"/>
              </w:rPr>
              <w:tab/>
            </w:r>
            <w:r w:rsidR="007E5C0B" w:rsidRPr="007E5C0B">
              <w:rPr>
                <w:rFonts w:cs="Arial"/>
                <w:noProof/>
                <w:sz w:val="18"/>
                <w:szCs w:val="18"/>
              </w:rPr>
              <w:t>abgeschnitten?“.</w:t>
            </w:r>
          </w:p>
          <w:p w14:paraId="1B016E83" w14:textId="77777777" w:rsidR="00EA5280" w:rsidRDefault="00EA5280" w:rsidP="00D65A44">
            <w:pPr>
              <w:spacing w:before="240" w:line="185" w:lineRule="exact"/>
              <w:ind w:left="431"/>
              <w:textAlignment w:val="baseline"/>
              <w:rPr>
                <w:rFonts w:eastAsia="Calibri" w:cs="Arial"/>
                <w:b/>
                <w:color w:val="000000"/>
                <w:spacing w:val="-2"/>
                <w:sz w:val="18"/>
                <w:szCs w:val="18"/>
              </w:rPr>
            </w:pPr>
          </w:p>
        </w:tc>
      </w:tr>
      <w:tr w:rsidR="00EA5280" w14:paraId="18AB0801" w14:textId="77777777" w:rsidTr="00EA5280">
        <w:trPr>
          <w:trHeight w:val="514"/>
        </w:trPr>
        <w:tc>
          <w:tcPr>
            <w:tcW w:w="2274" w:type="dxa"/>
            <w:gridSpan w:val="2"/>
            <w:shd w:val="clear" w:color="auto" w:fill="auto"/>
          </w:tcPr>
          <w:p w14:paraId="69F6A9EE" w14:textId="77777777" w:rsidR="00EA5280" w:rsidRDefault="00EA5280">
            <w:pPr>
              <w:spacing w:line="245" w:lineRule="exact"/>
              <w:jc w:val="both"/>
              <w:textAlignment w:val="baseline"/>
              <w:rPr>
                <w:rFonts w:cs="Arial"/>
                <w:noProof/>
                <w:sz w:val="18"/>
                <w:szCs w:val="18"/>
              </w:rPr>
            </w:pPr>
          </w:p>
        </w:tc>
        <w:tc>
          <w:tcPr>
            <w:tcW w:w="8216" w:type="dxa"/>
            <w:shd w:val="clear" w:color="auto" w:fill="auto"/>
          </w:tcPr>
          <w:p w14:paraId="36E20A1F" w14:textId="77777777" w:rsidR="00EA5280" w:rsidRDefault="00EA5280">
            <w:pPr>
              <w:ind w:left="28" w:right="74"/>
              <w:jc w:val="both"/>
              <w:textAlignment w:val="baseline"/>
              <w:rPr>
                <w:rFonts w:eastAsia="Calibri" w:cs="Arial"/>
                <w:b/>
                <w:color w:val="000000"/>
                <w:spacing w:val="-2"/>
                <w:sz w:val="18"/>
                <w:szCs w:val="18"/>
              </w:rPr>
            </w:pPr>
          </w:p>
        </w:tc>
      </w:tr>
    </w:tbl>
    <w:p w14:paraId="4168368F" w14:textId="77777777" w:rsidR="00FB4811" w:rsidRDefault="00FB4811"/>
    <w:sectPr w:rsidR="00FB4811">
      <w:type w:val="continuous"/>
      <w:pgSz w:w="11907" w:h="16839" w:code="64"/>
      <w:pgMar w:top="1984" w:right="1020" w:bottom="964" w:left="964" w:header="737" w:footer="964" w:gutter="0"/>
      <w:cols w:space="284"/>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6004" w14:textId="77777777" w:rsidR="001526C2" w:rsidRDefault="001526C2">
      <w:r>
        <w:separator/>
      </w:r>
    </w:p>
  </w:endnote>
  <w:endnote w:type="continuationSeparator" w:id="0">
    <w:p w14:paraId="5FCC2454" w14:textId="77777777" w:rsidR="001526C2" w:rsidRDefault="001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38298" w14:textId="77777777" w:rsidR="001526C2" w:rsidRDefault="001526C2">
      <w:r>
        <w:separator/>
      </w:r>
    </w:p>
  </w:footnote>
  <w:footnote w:type="continuationSeparator" w:id="0">
    <w:p w14:paraId="23E3AE7F" w14:textId="77777777" w:rsidR="001526C2" w:rsidRDefault="00152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1" w:type="dxa"/>
      <w:tblLayout w:type="fixed"/>
      <w:tblCellMar>
        <w:left w:w="70" w:type="dxa"/>
        <w:right w:w="70" w:type="dxa"/>
      </w:tblCellMar>
      <w:tblLook w:val="0000" w:firstRow="0" w:lastRow="0" w:firstColumn="0" w:lastColumn="0" w:noHBand="0" w:noVBand="0"/>
    </w:tblPr>
    <w:tblGrid>
      <w:gridCol w:w="7360"/>
      <w:gridCol w:w="160"/>
      <w:gridCol w:w="2551"/>
    </w:tblGrid>
    <w:tr w:rsidR="00FB4811" w14:paraId="4B8EBAF2" w14:textId="77777777">
      <w:tc>
        <w:tcPr>
          <w:tcW w:w="7360" w:type="dxa"/>
          <w:shd w:val="clear" w:color="auto" w:fill="auto"/>
        </w:tcPr>
        <w:p w14:paraId="5317D581" w14:textId="77777777" w:rsidR="00FB4811" w:rsidRDefault="00B31CBF">
          <w:pPr>
            <w:pStyle w:val="Kopfzeile"/>
            <w:spacing w:before="200" w:line="284" w:lineRule="auto"/>
            <w:rPr>
              <w:rFonts w:cs="Arial"/>
              <w:sz w:val="28"/>
            </w:rPr>
          </w:pPr>
          <w:bookmarkStart w:id="0" w:name="Kopf1"/>
          <w:r>
            <w:rPr>
              <w:rFonts w:cs="Arial"/>
              <w:sz w:val="28"/>
            </w:rPr>
            <w:t>Bayern-Versicherung</w:t>
          </w:r>
          <w:bookmarkEnd w:id="0"/>
        </w:p>
        <w:p w14:paraId="54669DCA" w14:textId="77777777" w:rsidR="00FB4811" w:rsidRDefault="00B31CBF">
          <w:pPr>
            <w:pStyle w:val="Kopfzeile"/>
            <w:spacing w:line="284" w:lineRule="auto"/>
            <w:rPr>
              <w:rFonts w:cs="Arial"/>
              <w:sz w:val="18"/>
            </w:rPr>
          </w:pPr>
          <w:bookmarkStart w:id="1" w:name="Kopf2"/>
          <w:r>
            <w:rPr>
              <w:rFonts w:cs="Arial"/>
              <w:sz w:val="18"/>
            </w:rPr>
            <w:t>Lebensversicherung Aktiengesellschaft</w:t>
          </w:r>
          <w:bookmarkEnd w:id="1"/>
        </w:p>
        <w:p w14:paraId="7FC025BF" w14:textId="77777777" w:rsidR="00FB4811" w:rsidRDefault="00B31CBF">
          <w:pPr>
            <w:pStyle w:val="Kopfzeile"/>
            <w:spacing w:line="284" w:lineRule="auto"/>
            <w:rPr>
              <w:rFonts w:cs="Arial"/>
              <w:sz w:val="18"/>
            </w:rPr>
          </w:pPr>
          <w:bookmarkStart w:id="2" w:name="Kopf3"/>
          <w:r>
            <w:rPr>
              <w:rFonts w:cs="Arial"/>
              <w:sz w:val="18"/>
            </w:rPr>
            <w:t>Ein Unternehmen der Versicherungskammer</w:t>
          </w:r>
          <w:bookmarkEnd w:id="2"/>
        </w:p>
        <w:p w14:paraId="097508A6" w14:textId="77777777" w:rsidR="00FB4811" w:rsidRDefault="00FB4811">
          <w:pPr>
            <w:pStyle w:val="Kopfzeile"/>
            <w:spacing w:line="284" w:lineRule="auto"/>
            <w:rPr>
              <w:rFonts w:cs="Arial"/>
              <w:sz w:val="18"/>
            </w:rPr>
          </w:pPr>
          <w:bookmarkStart w:id="3" w:name="Kopf4"/>
          <w:bookmarkEnd w:id="3"/>
        </w:p>
      </w:tc>
      <w:tc>
        <w:tcPr>
          <w:tcW w:w="160" w:type="dxa"/>
          <w:shd w:val="clear" w:color="auto" w:fill="auto"/>
        </w:tcPr>
        <w:p w14:paraId="69D9904F" w14:textId="77777777" w:rsidR="00FB4811" w:rsidRDefault="00FB4811">
          <w:pPr>
            <w:pStyle w:val="Kopfzeile"/>
            <w:rPr>
              <w:sz w:val="175"/>
            </w:rPr>
          </w:pPr>
        </w:p>
      </w:tc>
      <w:tc>
        <w:tcPr>
          <w:tcW w:w="2551" w:type="dxa"/>
          <w:shd w:val="clear" w:color="auto" w:fill="auto"/>
        </w:tcPr>
        <w:p w14:paraId="5A8215E4" w14:textId="77777777" w:rsidR="00FB4811" w:rsidRDefault="00FB4811">
          <w:pPr>
            <w:pStyle w:val="Kopfzeile"/>
            <w:rPr>
              <w:sz w:val="2"/>
            </w:rPr>
          </w:pPr>
        </w:p>
      </w:tc>
      <w:bookmarkStart w:id="4" w:name="Logo"/>
      <w:bookmarkEnd w:id="4"/>
    </w:tr>
  </w:tbl>
  <w:p w14:paraId="3DA6BE11" w14:textId="77777777" w:rsidR="00FB4811" w:rsidRDefault="00FB4811">
    <w:pPr>
      <w:pStyle w:val="Kopf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0986" w14:textId="77777777" w:rsidR="00FB4811" w:rsidRDefault="00B31CBF">
    <w:pPr>
      <w:pStyle w:val="Kopfzeile"/>
      <w:tabs>
        <w:tab w:val="clear" w:pos="4536"/>
        <w:tab w:val="clear" w:pos="9072"/>
        <w:tab w:val="right" w:pos="9921"/>
      </w:tabs>
      <w:rPr>
        <w:color w:val="000000"/>
      </w:rPr>
    </w:pPr>
    <w:r>
      <w:rPr>
        <w:color w:val="000000"/>
      </w:rPr>
      <w:t xml:space="preserve">Seite </w:t>
    </w:r>
    <w:r>
      <w:rPr>
        <w:color w:val="000000"/>
      </w:rPr>
      <w:fldChar w:fldCharType="begin"/>
    </w:r>
    <w:r>
      <w:rPr>
        <w:color w:val="000000"/>
      </w:rPr>
      <w:instrText xml:space="preserve"> PAGE  \* MERGEFORMAT </w:instrText>
    </w:r>
    <w:r>
      <w:rPr>
        <w:color w:val="000000"/>
      </w:rPr>
      <w:fldChar w:fldCharType="separate"/>
    </w:r>
    <w:r>
      <w:rPr>
        <w:noProof/>
        <w:color w:val="000000"/>
      </w:rPr>
      <w:t>9</w:t>
    </w:r>
    <w:r>
      <w:rPr>
        <w:color w:val="000000"/>
      </w:rPr>
      <w:fldChar w:fldCharType="end"/>
    </w:r>
    <w:r>
      <w:rPr>
        <w:color w:val="000000"/>
      </w:rPr>
      <w:t xml:space="preserve"> von </w:t>
    </w:r>
    <w:r>
      <w:rPr>
        <w:color w:val="000000"/>
      </w:rPr>
      <w:fldChar w:fldCharType="begin"/>
    </w:r>
    <w:r>
      <w:rPr>
        <w:color w:val="000000"/>
      </w:rPr>
      <w:instrText xml:space="preserve"> NUMPAGES  \* MERGEFORMAT </w:instrText>
    </w:r>
    <w:r>
      <w:rPr>
        <w:color w:val="000000"/>
      </w:rPr>
      <w:fldChar w:fldCharType="separate"/>
    </w:r>
    <w:r>
      <w:rPr>
        <w:noProof/>
        <w:color w:val="000000"/>
      </w:rPr>
      <w:t>9</w:t>
    </w:r>
    <w:r>
      <w:rPr>
        <w:color w:val="000000"/>
      </w:rPr>
      <w:fldChar w:fldCharType="end"/>
    </w:r>
    <w:r>
      <w:rPr>
        <w:color w:val="000000"/>
      </w:rPr>
      <w:tab/>
    </w:r>
    <w:bookmarkStart w:id="5" w:name="tmTitelKurz"/>
    <w:r>
      <w:rPr>
        <w:color w:val="000000"/>
      </w:rPr>
      <w:t xml:space="preserve">Kundeninfo </w:t>
    </w:r>
    <w:r>
      <w:t>des Finanzproduktes:</w:t>
    </w:r>
    <w:r>
      <w:rPr>
        <w:color w:val="000000"/>
      </w:rPr>
      <w:t xml:space="preserve"> </w:t>
    </w:r>
    <w:bookmarkEnd w:id="5"/>
    <w:r>
      <w:rPr>
        <w:color w:val="000000"/>
      </w:rPr>
      <w:t>ROK Zukunft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172EE"/>
    <w:multiLevelType w:val="hybridMultilevel"/>
    <w:tmpl w:val="E8744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E367D5"/>
    <w:multiLevelType w:val="hybridMultilevel"/>
    <w:tmpl w:val="5120CAAA"/>
    <w:lvl w:ilvl="0" w:tplc="C770A95A">
      <w:start w:val="1"/>
      <w:numFmt w:val="bullet"/>
      <w:lvlText w:val="-"/>
      <w:lvlJc w:val="left"/>
      <w:pPr>
        <w:tabs>
          <w:tab w:val="num" w:pos="700"/>
        </w:tabs>
        <w:ind w:left="700" w:hanging="360"/>
      </w:pPr>
      <w:rPr>
        <w:rFonts w:ascii="Times New Roman" w:eastAsia="Times New Roman" w:hAnsi="Times New Roman" w:cs="Times New Roman" w:hint="default"/>
      </w:rPr>
    </w:lvl>
    <w:lvl w:ilvl="1" w:tplc="04070003" w:tentative="1">
      <w:start w:val="1"/>
      <w:numFmt w:val="bullet"/>
      <w:lvlText w:val="o"/>
      <w:lvlJc w:val="left"/>
      <w:pPr>
        <w:tabs>
          <w:tab w:val="num" w:pos="1420"/>
        </w:tabs>
        <w:ind w:left="1420" w:hanging="360"/>
      </w:pPr>
      <w:rPr>
        <w:rFonts w:ascii="Courier New" w:hAnsi="Courier New" w:hint="default"/>
      </w:rPr>
    </w:lvl>
    <w:lvl w:ilvl="2" w:tplc="04070005" w:tentative="1">
      <w:start w:val="1"/>
      <w:numFmt w:val="bullet"/>
      <w:lvlText w:val=""/>
      <w:lvlJc w:val="left"/>
      <w:pPr>
        <w:tabs>
          <w:tab w:val="num" w:pos="2140"/>
        </w:tabs>
        <w:ind w:left="2140" w:hanging="360"/>
      </w:pPr>
      <w:rPr>
        <w:rFonts w:ascii="Wingdings" w:hAnsi="Wingdings" w:hint="default"/>
      </w:rPr>
    </w:lvl>
    <w:lvl w:ilvl="3" w:tplc="04070001" w:tentative="1">
      <w:start w:val="1"/>
      <w:numFmt w:val="bullet"/>
      <w:lvlText w:val=""/>
      <w:lvlJc w:val="left"/>
      <w:pPr>
        <w:tabs>
          <w:tab w:val="num" w:pos="2860"/>
        </w:tabs>
        <w:ind w:left="2860" w:hanging="360"/>
      </w:pPr>
      <w:rPr>
        <w:rFonts w:ascii="Symbol" w:hAnsi="Symbol" w:hint="default"/>
      </w:rPr>
    </w:lvl>
    <w:lvl w:ilvl="4" w:tplc="04070003" w:tentative="1">
      <w:start w:val="1"/>
      <w:numFmt w:val="bullet"/>
      <w:lvlText w:val="o"/>
      <w:lvlJc w:val="left"/>
      <w:pPr>
        <w:tabs>
          <w:tab w:val="num" w:pos="3580"/>
        </w:tabs>
        <w:ind w:left="3580" w:hanging="360"/>
      </w:pPr>
      <w:rPr>
        <w:rFonts w:ascii="Courier New" w:hAnsi="Courier New" w:hint="default"/>
      </w:rPr>
    </w:lvl>
    <w:lvl w:ilvl="5" w:tplc="04070005" w:tentative="1">
      <w:start w:val="1"/>
      <w:numFmt w:val="bullet"/>
      <w:lvlText w:val=""/>
      <w:lvlJc w:val="left"/>
      <w:pPr>
        <w:tabs>
          <w:tab w:val="num" w:pos="4300"/>
        </w:tabs>
        <w:ind w:left="4300" w:hanging="360"/>
      </w:pPr>
      <w:rPr>
        <w:rFonts w:ascii="Wingdings" w:hAnsi="Wingdings" w:hint="default"/>
      </w:rPr>
    </w:lvl>
    <w:lvl w:ilvl="6" w:tplc="04070001" w:tentative="1">
      <w:start w:val="1"/>
      <w:numFmt w:val="bullet"/>
      <w:lvlText w:val=""/>
      <w:lvlJc w:val="left"/>
      <w:pPr>
        <w:tabs>
          <w:tab w:val="num" w:pos="5020"/>
        </w:tabs>
        <w:ind w:left="5020" w:hanging="360"/>
      </w:pPr>
      <w:rPr>
        <w:rFonts w:ascii="Symbol" w:hAnsi="Symbol" w:hint="default"/>
      </w:rPr>
    </w:lvl>
    <w:lvl w:ilvl="7" w:tplc="04070003" w:tentative="1">
      <w:start w:val="1"/>
      <w:numFmt w:val="bullet"/>
      <w:lvlText w:val="o"/>
      <w:lvlJc w:val="left"/>
      <w:pPr>
        <w:tabs>
          <w:tab w:val="num" w:pos="5740"/>
        </w:tabs>
        <w:ind w:left="5740" w:hanging="360"/>
      </w:pPr>
      <w:rPr>
        <w:rFonts w:ascii="Courier New" w:hAnsi="Courier New" w:hint="default"/>
      </w:rPr>
    </w:lvl>
    <w:lvl w:ilvl="8" w:tplc="0407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0DF066A0"/>
    <w:multiLevelType w:val="hybridMultilevel"/>
    <w:tmpl w:val="C456C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4074E"/>
    <w:multiLevelType w:val="hybridMultilevel"/>
    <w:tmpl w:val="024095D8"/>
    <w:lvl w:ilvl="0" w:tplc="6D388414">
      <w:start w:val="1"/>
      <w:numFmt w:val="bullet"/>
      <w:lvlText w:val="•"/>
      <w:lvlJc w:val="left"/>
      <w:pPr>
        <w:ind w:left="1080" w:hanging="360"/>
      </w:pPr>
      <w:rPr>
        <w:rFonts w:ascii="Calibri" w:hAnsi="Calibri" w:hint="default"/>
        <w:b w:val="0"/>
        <w:i w:val="0"/>
        <w:color w:val="auto"/>
        <w:sz w:val="22"/>
      </w:rPr>
    </w:lvl>
    <w:lvl w:ilvl="1" w:tplc="9D5AF732">
      <w:start w:val="1"/>
      <w:numFmt w:val="bullet"/>
      <w:lvlText w:val=""/>
      <w:lvlJc w:val="left"/>
      <w:pPr>
        <w:ind w:left="1800" w:hanging="360"/>
      </w:pPr>
      <w:rPr>
        <w:rFonts w:ascii="Symbol" w:hAnsi="Symbol" w:hint="default"/>
        <w:b w:val="0"/>
        <w:i w:val="0"/>
        <w:color w:val="auto"/>
        <w:sz w:val="16"/>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65F3362"/>
    <w:multiLevelType w:val="hybridMultilevel"/>
    <w:tmpl w:val="EEB2C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7979E5"/>
    <w:multiLevelType w:val="hybridMultilevel"/>
    <w:tmpl w:val="504A9B2C"/>
    <w:lvl w:ilvl="0" w:tplc="04070001">
      <w:start w:val="1"/>
      <w:numFmt w:val="bullet"/>
      <w:lvlText w:val=""/>
      <w:lvlJc w:val="left"/>
      <w:pPr>
        <w:ind w:left="720" w:hanging="360"/>
      </w:pPr>
      <w:rPr>
        <w:rFonts w:ascii="Symbol" w:hAnsi="Symbol" w:hint="default"/>
      </w:rPr>
    </w:lvl>
    <w:lvl w:ilvl="1" w:tplc="519A0E06">
      <w:numFmt w:val="bullet"/>
      <w:lvlText w:val="•"/>
      <w:lvlJc w:val="left"/>
      <w:pPr>
        <w:ind w:left="1440" w:hanging="360"/>
      </w:pPr>
      <w:rPr>
        <w:rFonts w:ascii="Calibri Light" w:eastAsia="Times New Roman" w:hAnsi="Calibri Light" w:cstheme="majorHAnsi"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2D0831"/>
    <w:multiLevelType w:val="hybridMultilevel"/>
    <w:tmpl w:val="6C56805A"/>
    <w:lvl w:ilvl="0" w:tplc="6CB4980E">
      <w:start w:val="1"/>
      <w:numFmt w:val="decimal"/>
      <w:lvlText w:val="%1."/>
      <w:lvlJc w:val="left"/>
      <w:pPr>
        <w:ind w:left="468" w:hanging="360"/>
      </w:pPr>
      <w:rPr>
        <w:rFonts w:ascii="Arial" w:eastAsia="Times New Roman" w:hAnsi="Arial" w:cs="Arial"/>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abstractNum w:abstractNumId="8" w15:restartNumberingAfterBreak="0">
    <w:nsid w:val="3CD20EB3"/>
    <w:multiLevelType w:val="hybridMultilevel"/>
    <w:tmpl w:val="DABA8A6E"/>
    <w:lvl w:ilvl="0" w:tplc="0E88DD5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A034E1"/>
    <w:multiLevelType w:val="hybridMultilevel"/>
    <w:tmpl w:val="C47EA69C"/>
    <w:lvl w:ilvl="0" w:tplc="5828832C">
      <w:start w:val="1"/>
      <w:numFmt w:val="bullet"/>
      <w:lvlText w:val="□"/>
      <w:lvlJc w:val="left"/>
      <w:pPr>
        <w:ind w:left="1203" w:hanging="360"/>
      </w:pPr>
      <w:rPr>
        <w:rFonts w:ascii="Arial" w:hAnsi="Arial" w:hint="default"/>
      </w:rPr>
    </w:lvl>
    <w:lvl w:ilvl="1" w:tplc="254AD030">
      <w:numFmt w:val="bullet"/>
      <w:lvlText w:val="-"/>
      <w:lvlJc w:val="left"/>
      <w:pPr>
        <w:ind w:left="1923" w:hanging="360"/>
      </w:pPr>
      <w:rPr>
        <w:rFonts w:ascii="Arial" w:eastAsia="Times New Roman" w:hAnsi="Arial" w:cs="Arial" w:hint="default"/>
      </w:rPr>
    </w:lvl>
    <w:lvl w:ilvl="2" w:tplc="04070005" w:tentative="1">
      <w:start w:val="1"/>
      <w:numFmt w:val="bullet"/>
      <w:lvlText w:val=""/>
      <w:lvlJc w:val="left"/>
      <w:pPr>
        <w:ind w:left="2643" w:hanging="360"/>
      </w:pPr>
      <w:rPr>
        <w:rFonts w:ascii="Wingdings" w:hAnsi="Wingdings" w:hint="default"/>
      </w:rPr>
    </w:lvl>
    <w:lvl w:ilvl="3" w:tplc="04070001" w:tentative="1">
      <w:start w:val="1"/>
      <w:numFmt w:val="bullet"/>
      <w:lvlText w:val=""/>
      <w:lvlJc w:val="left"/>
      <w:pPr>
        <w:ind w:left="3363" w:hanging="360"/>
      </w:pPr>
      <w:rPr>
        <w:rFonts w:ascii="Symbol" w:hAnsi="Symbol" w:hint="default"/>
      </w:rPr>
    </w:lvl>
    <w:lvl w:ilvl="4" w:tplc="04070003" w:tentative="1">
      <w:start w:val="1"/>
      <w:numFmt w:val="bullet"/>
      <w:lvlText w:val="o"/>
      <w:lvlJc w:val="left"/>
      <w:pPr>
        <w:ind w:left="4083" w:hanging="360"/>
      </w:pPr>
      <w:rPr>
        <w:rFonts w:ascii="Courier New" w:hAnsi="Courier New" w:cs="Courier New" w:hint="default"/>
      </w:rPr>
    </w:lvl>
    <w:lvl w:ilvl="5" w:tplc="04070005" w:tentative="1">
      <w:start w:val="1"/>
      <w:numFmt w:val="bullet"/>
      <w:lvlText w:val=""/>
      <w:lvlJc w:val="left"/>
      <w:pPr>
        <w:ind w:left="4803" w:hanging="360"/>
      </w:pPr>
      <w:rPr>
        <w:rFonts w:ascii="Wingdings" w:hAnsi="Wingdings" w:hint="default"/>
      </w:rPr>
    </w:lvl>
    <w:lvl w:ilvl="6" w:tplc="04070001" w:tentative="1">
      <w:start w:val="1"/>
      <w:numFmt w:val="bullet"/>
      <w:lvlText w:val=""/>
      <w:lvlJc w:val="left"/>
      <w:pPr>
        <w:ind w:left="5523" w:hanging="360"/>
      </w:pPr>
      <w:rPr>
        <w:rFonts w:ascii="Symbol" w:hAnsi="Symbol" w:hint="default"/>
      </w:rPr>
    </w:lvl>
    <w:lvl w:ilvl="7" w:tplc="04070003" w:tentative="1">
      <w:start w:val="1"/>
      <w:numFmt w:val="bullet"/>
      <w:lvlText w:val="o"/>
      <w:lvlJc w:val="left"/>
      <w:pPr>
        <w:ind w:left="6243" w:hanging="360"/>
      </w:pPr>
      <w:rPr>
        <w:rFonts w:ascii="Courier New" w:hAnsi="Courier New" w:cs="Courier New" w:hint="default"/>
      </w:rPr>
    </w:lvl>
    <w:lvl w:ilvl="8" w:tplc="04070005" w:tentative="1">
      <w:start w:val="1"/>
      <w:numFmt w:val="bullet"/>
      <w:lvlText w:val=""/>
      <w:lvlJc w:val="left"/>
      <w:pPr>
        <w:ind w:left="6963" w:hanging="360"/>
      </w:pPr>
      <w:rPr>
        <w:rFonts w:ascii="Wingdings" w:hAnsi="Wingdings" w:hint="default"/>
      </w:rPr>
    </w:lvl>
  </w:abstractNum>
  <w:abstractNum w:abstractNumId="10" w15:restartNumberingAfterBreak="0">
    <w:nsid w:val="3FF54F54"/>
    <w:multiLevelType w:val="hybridMultilevel"/>
    <w:tmpl w:val="3E3016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E6185C"/>
    <w:multiLevelType w:val="hybridMultilevel"/>
    <w:tmpl w:val="9C0ABF8E"/>
    <w:lvl w:ilvl="0" w:tplc="7550102C">
      <w:start w:val="1"/>
      <w:numFmt w:val="bullet"/>
      <w:lvlText w:val="■"/>
      <w:lvlJc w:val="left"/>
      <w:pPr>
        <w:ind w:left="1203" w:hanging="360"/>
      </w:pPr>
      <w:rPr>
        <w:rFonts w:ascii="Arial" w:hAnsi="Arial" w:hint="default"/>
        <w:color w:val="auto"/>
      </w:rPr>
    </w:lvl>
    <w:lvl w:ilvl="1" w:tplc="04070003" w:tentative="1">
      <w:start w:val="1"/>
      <w:numFmt w:val="bullet"/>
      <w:lvlText w:val="o"/>
      <w:lvlJc w:val="left"/>
      <w:pPr>
        <w:ind w:left="1923" w:hanging="360"/>
      </w:pPr>
      <w:rPr>
        <w:rFonts w:ascii="Courier New" w:hAnsi="Courier New" w:cs="Courier New" w:hint="default"/>
      </w:rPr>
    </w:lvl>
    <w:lvl w:ilvl="2" w:tplc="04070005" w:tentative="1">
      <w:start w:val="1"/>
      <w:numFmt w:val="bullet"/>
      <w:lvlText w:val=""/>
      <w:lvlJc w:val="left"/>
      <w:pPr>
        <w:ind w:left="2643" w:hanging="360"/>
      </w:pPr>
      <w:rPr>
        <w:rFonts w:ascii="Wingdings" w:hAnsi="Wingdings" w:hint="default"/>
      </w:rPr>
    </w:lvl>
    <w:lvl w:ilvl="3" w:tplc="04070001" w:tentative="1">
      <w:start w:val="1"/>
      <w:numFmt w:val="bullet"/>
      <w:lvlText w:val=""/>
      <w:lvlJc w:val="left"/>
      <w:pPr>
        <w:ind w:left="3363" w:hanging="360"/>
      </w:pPr>
      <w:rPr>
        <w:rFonts w:ascii="Symbol" w:hAnsi="Symbol" w:hint="default"/>
      </w:rPr>
    </w:lvl>
    <w:lvl w:ilvl="4" w:tplc="04070003" w:tentative="1">
      <w:start w:val="1"/>
      <w:numFmt w:val="bullet"/>
      <w:lvlText w:val="o"/>
      <w:lvlJc w:val="left"/>
      <w:pPr>
        <w:ind w:left="4083" w:hanging="360"/>
      </w:pPr>
      <w:rPr>
        <w:rFonts w:ascii="Courier New" w:hAnsi="Courier New" w:cs="Courier New" w:hint="default"/>
      </w:rPr>
    </w:lvl>
    <w:lvl w:ilvl="5" w:tplc="04070005" w:tentative="1">
      <w:start w:val="1"/>
      <w:numFmt w:val="bullet"/>
      <w:lvlText w:val=""/>
      <w:lvlJc w:val="left"/>
      <w:pPr>
        <w:ind w:left="4803" w:hanging="360"/>
      </w:pPr>
      <w:rPr>
        <w:rFonts w:ascii="Wingdings" w:hAnsi="Wingdings" w:hint="default"/>
      </w:rPr>
    </w:lvl>
    <w:lvl w:ilvl="6" w:tplc="04070001" w:tentative="1">
      <w:start w:val="1"/>
      <w:numFmt w:val="bullet"/>
      <w:lvlText w:val=""/>
      <w:lvlJc w:val="left"/>
      <w:pPr>
        <w:ind w:left="5523" w:hanging="360"/>
      </w:pPr>
      <w:rPr>
        <w:rFonts w:ascii="Symbol" w:hAnsi="Symbol" w:hint="default"/>
      </w:rPr>
    </w:lvl>
    <w:lvl w:ilvl="7" w:tplc="04070003" w:tentative="1">
      <w:start w:val="1"/>
      <w:numFmt w:val="bullet"/>
      <w:lvlText w:val="o"/>
      <w:lvlJc w:val="left"/>
      <w:pPr>
        <w:ind w:left="6243" w:hanging="360"/>
      </w:pPr>
      <w:rPr>
        <w:rFonts w:ascii="Courier New" w:hAnsi="Courier New" w:cs="Courier New" w:hint="default"/>
      </w:rPr>
    </w:lvl>
    <w:lvl w:ilvl="8" w:tplc="04070005" w:tentative="1">
      <w:start w:val="1"/>
      <w:numFmt w:val="bullet"/>
      <w:lvlText w:val=""/>
      <w:lvlJc w:val="left"/>
      <w:pPr>
        <w:ind w:left="6963" w:hanging="360"/>
      </w:pPr>
      <w:rPr>
        <w:rFonts w:ascii="Wingdings" w:hAnsi="Wingdings" w:hint="default"/>
      </w:rPr>
    </w:lvl>
  </w:abstractNum>
  <w:abstractNum w:abstractNumId="12" w15:restartNumberingAfterBreak="0">
    <w:nsid w:val="4EC4680B"/>
    <w:multiLevelType w:val="hybridMultilevel"/>
    <w:tmpl w:val="280A7892"/>
    <w:lvl w:ilvl="0" w:tplc="7550102C">
      <w:start w:val="1"/>
      <w:numFmt w:val="bullet"/>
      <w:lvlText w:val="■"/>
      <w:lvlJc w:val="left"/>
      <w:pPr>
        <w:ind w:left="1080" w:hanging="360"/>
      </w:pPr>
      <w:rPr>
        <w:rFonts w:ascii="Arial" w:hAnsi="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6110C77"/>
    <w:multiLevelType w:val="hybridMultilevel"/>
    <w:tmpl w:val="9CB2DB84"/>
    <w:lvl w:ilvl="0" w:tplc="2B5CE598">
      <w:numFmt w:val="bullet"/>
      <w:lvlText w:val="-"/>
      <w:lvlJc w:val="left"/>
      <w:pPr>
        <w:ind w:left="720" w:hanging="360"/>
      </w:pPr>
      <w:rPr>
        <w:rFonts w:ascii="Calibri Light" w:eastAsia="Calibri" w:hAnsi="Calibri Light"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6F18E0"/>
    <w:multiLevelType w:val="hybridMultilevel"/>
    <w:tmpl w:val="65BC7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A71D2"/>
    <w:multiLevelType w:val="multilevel"/>
    <w:tmpl w:val="B2D4DC04"/>
    <w:lvl w:ilvl="0">
      <w:numFmt w:val="bullet"/>
      <w:lvlText w:val="·"/>
      <w:lvlJc w:val="left"/>
      <w:pPr>
        <w:tabs>
          <w:tab w:val="left" w:pos="360"/>
        </w:tabs>
      </w:pPr>
      <w:rPr>
        <w:rFonts w:ascii="Symbol" w:eastAsia="Symbol" w:hAnsi="Symbol"/>
        <w:b/>
        <w:color w:val="000000"/>
        <w:spacing w:val="-1"/>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FB575A"/>
    <w:multiLevelType w:val="hybridMultilevel"/>
    <w:tmpl w:val="9C3E879E"/>
    <w:lvl w:ilvl="0" w:tplc="3EBC2BA4">
      <w:numFmt w:val="bullet"/>
      <w:lvlText w:val="•"/>
      <w:lvlJc w:val="left"/>
      <w:pPr>
        <w:ind w:left="508" w:hanging="360"/>
      </w:pPr>
      <w:rPr>
        <w:rFonts w:ascii="Arial" w:eastAsia="Times New Roman" w:hAnsi="Arial" w:cs="Arial" w:hint="default"/>
      </w:rPr>
    </w:lvl>
    <w:lvl w:ilvl="1" w:tplc="04070003" w:tentative="1">
      <w:start w:val="1"/>
      <w:numFmt w:val="bullet"/>
      <w:lvlText w:val="o"/>
      <w:lvlJc w:val="left"/>
      <w:pPr>
        <w:ind w:left="1228" w:hanging="360"/>
      </w:pPr>
      <w:rPr>
        <w:rFonts w:ascii="Courier New" w:hAnsi="Courier New" w:cs="Courier New" w:hint="default"/>
      </w:rPr>
    </w:lvl>
    <w:lvl w:ilvl="2" w:tplc="04070005" w:tentative="1">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17" w15:restartNumberingAfterBreak="0">
    <w:nsid w:val="6ABA322B"/>
    <w:multiLevelType w:val="hybridMultilevel"/>
    <w:tmpl w:val="AB127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AB1104"/>
    <w:multiLevelType w:val="hybridMultilevel"/>
    <w:tmpl w:val="57722D72"/>
    <w:lvl w:ilvl="0" w:tplc="B8065336">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87A4B"/>
    <w:multiLevelType w:val="hybridMultilevel"/>
    <w:tmpl w:val="A9CC9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13C6E"/>
    <w:multiLevelType w:val="hybridMultilevel"/>
    <w:tmpl w:val="587A96EC"/>
    <w:lvl w:ilvl="0" w:tplc="5828832C">
      <w:start w:val="1"/>
      <w:numFmt w:val="bullet"/>
      <w:lvlText w:val="□"/>
      <w:lvlJc w:val="left"/>
      <w:pPr>
        <w:ind w:left="360" w:hanging="360"/>
      </w:pPr>
      <w:rPr>
        <w:rFonts w:ascii="Arial" w:hAnsi="Aria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B011B10"/>
    <w:multiLevelType w:val="hybridMultilevel"/>
    <w:tmpl w:val="C660F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C4E1B1D"/>
    <w:multiLevelType w:val="hybridMultilevel"/>
    <w:tmpl w:val="D974CB9E"/>
    <w:lvl w:ilvl="0" w:tplc="7550102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2788404">
    <w:abstractNumId w:val="0"/>
    <w:lvlOverride w:ilvl="0">
      <w:lvl w:ilvl="0">
        <w:start w:val="4"/>
        <w:numFmt w:val="bullet"/>
        <w:lvlText w:val="-"/>
        <w:legacy w:legacy="1" w:legacySpace="120" w:legacyIndent="360"/>
        <w:lvlJc w:val="left"/>
        <w:pPr>
          <w:ind w:left="720" w:hanging="360"/>
        </w:pPr>
      </w:lvl>
    </w:lvlOverride>
  </w:num>
  <w:num w:numId="2" w16cid:durableId="178284430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2112897064">
    <w:abstractNumId w:val="18"/>
  </w:num>
  <w:num w:numId="4" w16cid:durableId="1994262363">
    <w:abstractNumId w:val="2"/>
  </w:num>
  <w:num w:numId="5" w16cid:durableId="1386830471">
    <w:abstractNumId w:val="22"/>
  </w:num>
  <w:num w:numId="6" w16cid:durableId="1304311501">
    <w:abstractNumId w:val="9"/>
  </w:num>
  <w:num w:numId="7" w16cid:durableId="1752118912">
    <w:abstractNumId w:val="20"/>
  </w:num>
  <w:num w:numId="8" w16cid:durableId="355039551">
    <w:abstractNumId w:val="12"/>
  </w:num>
  <w:num w:numId="9" w16cid:durableId="1403017578">
    <w:abstractNumId w:val="19"/>
  </w:num>
  <w:num w:numId="10" w16cid:durableId="464859516">
    <w:abstractNumId w:val="3"/>
  </w:num>
  <w:num w:numId="11" w16cid:durableId="1396857256">
    <w:abstractNumId w:val="17"/>
  </w:num>
  <w:num w:numId="12" w16cid:durableId="1921060517">
    <w:abstractNumId w:val="11"/>
  </w:num>
  <w:num w:numId="13" w16cid:durableId="1802992171">
    <w:abstractNumId w:val="4"/>
  </w:num>
  <w:num w:numId="14" w16cid:durableId="711345687">
    <w:abstractNumId w:val="1"/>
  </w:num>
  <w:num w:numId="15" w16cid:durableId="1822504681">
    <w:abstractNumId w:val="14"/>
  </w:num>
  <w:num w:numId="16" w16cid:durableId="968823598">
    <w:abstractNumId w:val="10"/>
  </w:num>
  <w:num w:numId="17" w16cid:durableId="778335110">
    <w:abstractNumId w:val="15"/>
  </w:num>
  <w:num w:numId="18" w16cid:durableId="2077970044">
    <w:abstractNumId w:val="5"/>
  </w:num>
  <w:num w:numId="19" w16cid:durableId="1298221494">
    <w:abstractNumId w:val="6"/>
  </w:num>
  <w:num w:numId="20" w16cid:durableId="1761486079">
    <w:abstractNumId w:val="21"/>
  </w:num>
  <w:num w:numId="21" w16cid:durableId="890507559">
    <w:abstractNumId w:val="13"/>
  </w:num>
  <w:num w:numId="22" w16cid:durableId="1217930675">
    <w:abstractNumId w:val="16"/>
  </w:num>
  <w:num w:numId="23" w16cid:durableId="1256670925">
    <w:abstractNumId w:val="7"/>
  </w:num>
  <w:num w:numId="24" w16cid:durableId="2125030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70"/>
  <w:autoHyphenation/>
  <w:hyphenationZone w:val="425"/>
  <w:doNotHyphenateCaps/>
  <w:drawingGridHorizontalSpacing w:val="117"/>
  <w:drawingGridVerticalSpacing w:val="15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BerlinLogoSichtbar" w:val="Wahr"/>
    <w:docVar w:name="dvConsalLogoSichtbar" w:val="Wahr"/>
    <w:docVar w:name="dvDruckstand" w:val=" "/>
    <w:docVar w:name="dvEinschubtext" w:val=" "/>
    <w:docVar w:name="dvFormNummer" w:val=" "/>
    <w:docVar w:name="dvInhalt" w:val=" "/>
    <w:docVar w:name="dvKrankenmaskeLogoSichtbar" w:val=" "/>
    <w:docVar w:name="dvPatchIt" w:val=" "/>
    <w:docVar w:name="dvRisikotraeger" w:val="VKB"/>
    <w:docVar w:name="dvSaarlandLogoSichtbar" w:val="Wahr"/>
    <w:docVar w:name="dvSAPNummer" w:val=" "/>
    <w:docVar w:name="dvSAPStand" w:val=" "/>
    <w:docVar w:name="dvSpeichernUnter" w:val="G:\3PL\3PL02\ALLE\SP ZR\ESG\ESG-Vorrat\R21-07_GEMO\Für GEMO_Final\Leben_BL_ESG_FONDS_688"/>
    <w:docVar w:name="dvStil" w:val="Zweispaltig"/>
    <w:docVar w:name="dvTitel1" w:val="Merkblatt zur Nachhaltigkeit – Deka DAX® UCITS ETF"/>
    <w:docVar w:name="dvTitel2" w:val=" "/>
    <w:docVar w:name="dvTitel3" w:val=" "/>
    <w:docVar w:name="dvTitelKurz" w:val="Merkblatt zur Nachhaltigkeit – Deka DAX® UCITS ETF"/>
    <w:docVar w:name="dvUKVLogoSichtbar" w:val="Wahr"/>
    <w:docVar w:name="dvUnternehmen" w:val="BLA"/>
    <w:docVar w:name="dvVKBLogoSichtbar" w:val="Falsch"/>
    <w:docVar w:name="dvVorlagenversion" w:val="7.0.0"/>
  </w:docVars>
  <w:rsids>
    <w:rsidRoot w:val="00FB4811"/>
    <w:rsid w:val="00092BA1"/>
    <w:rsid w:val="001526C2"/>
    <w:rsid w:val="00240E9A"/>
    <w:rsid w:val="00243751"/>
    <w:rsid w:val="003D75B4"/>
    <w:rsid w:val="004278FC"/>
    <w:rsid w:val="00431741"/>
    <w:rsid w:val="004C0B21"/>
    <w:rsid w:val="006252C9"/>
    <w:rsid w:val="00643673"/>
    <w:rsid w:val="00667E8A"/>
    <w:rsid w:val="00713633"/>
    <w:rsid w:val="00721118"/>
    <w:rsid w:val="00722D3D"/>
    <w:rsid w:val="00755024"/>
    <w:rsid w:val="0077156C"/>
    <w:rsid w:val="00777A4B"/>
    <w:rsid w:val="007E5C0B"/>
    <w:rsid w:val="008E17CD"/>
    <w:rsid w:val="009C21EF"/>
    <w:rsid w:val="009F3034"/>
    <w:rsid w:val="00AD5681"/>
    <w:rsid w:val="00AF1B16"/>
    <w:rsid w:val="00B129DB"/>
    <w:rsid w:val="00B31CBF"/>
    <w:rsid w:val="00B516DD"/>
    <w:rsid w:val="00B61A8D"/>
    <w:rsid w:val="00BA5789"/>
    <w:rsid w:val="00C34383"/>
    <w:rsid w:val="00D4263E"/>
    <w:rsid w:val="00D765C6"/>
    <w:rsid w:val="00DD332F"/>
    <w:rsid w:val="00E034FF"/>
    <w:rsid w:val="00EA5280"/>
    <w:rsid w:val="00F5286C"/>
    <w:rsid w:val="00F67875"/>
    <w:rsid w:val="00FB4811"/>
    <w:rsid w:val="00FC6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7FB2F"/>
  <w15:chartTrackingRefBased/>
  <w15:docId w15:val="{A299D0F5-CC60-4049-A9E7-DEA783C1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sz w:val="15"/>
    </w:rPr>
  </w:style>
  <w:style w:type="paragraph" w:styleId="berschrift1">
    <w:name w:val="heading 1"/>
    <w:aliases w:val="Standardüberschrift"/>
    <w:basedOn w:val="Standard"/>
    <w:autoRedefine/>
    <w:qFormat/>
    <w:pPr>
      <w:keepNext/>
      <w:outlineLvl w:val="0"/>
    </w:pPr>
    <w:rPr>
      <w:rFonts w:cs="Arial"/>
      <w:b/>
      <w:bCs/>
      <w:szCs w:val="32"/>
    </w:rPr>
  </w:style>
  <w:style w:type="paragraph" w:styleId="berschrift2">
    <w:name w:val="heading 2"/>
    <w:basedOn w:val="Standard"/>
    <w:next w:val="Standard"/>
    <w:qFormat/>
    <w:pPr>
      <w:keepNext/>
      <w:spacing w:before="240" w:after="60"/>
      <w:outlineLvl w:val="1"/>
    </w:pPr>
    <w:rPr>
      <w:rFonts w:cs="Arial"/>
      <w:szCs w:val="28"/>
    </w:rPr>
  </w:style>
  <w:style w:type="paragraph" w:styleId="berschrift3">
    <w:name w:val="heading 3"/>
    <w:basedOn w:val="Standard"/>
    <w:next w:val="Standard"/>
    <w:qFormat/>
    <w:pPr>
      <w:keepNext/>
      <w:spacing w:before="240" w:after="60"/>
      <w:outlineLvl w:val="2"/>
    </w:pPr>
    <w:rPr>
      <w:rFonts w:cs="Arial"/>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customStyle="1" w:styleId="Titel-berschrift">
    <w:name w:val="Titel-Überschrift"/>
    <w:basedOn w:val="Standard"/>
    <w:rPr>
      <w:b/>
      <w:sz w:val="26"/>
    </w:rPr>
  </w:style>
  <w:style w:type="paragraph" w:customStyle="1" w:styleId="Inhaltsverzeichnis">
    <w:name w:val="Inhaltsverzeichnis"/>
    <w:basedOn w:val="Standard"/>
  </w:style>
  <w:style w:type="paragraph" w:customStyle="1" w:styleId="Platzvorgabe">
    <w:name w:val="Platzvorgabe"/>
    <w:basedOn w:val="Titel-berschrift"/>
  </w:style>
  <w:style w:type="paragraph" w:customStyle="1" w:styleId="StandInterneAngaben">
    <w:name w:val="Stand / Interne Angaben"/>
    <w:basedOn w:val="Standar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cs="Tahoma"/>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pPr>
      <w:ind w:left="720"/>
      <w:contextualSpacing/>
    </w:pPr>
  </w:style>
  <w:style w:type="character" w:styleId="Hyperlink">
    <w:name w:val="Hyperlink"/>
    <w:uiPriority w:val="99"/>
    <w:rPr>
      <w:color w:val="0000FF"/>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ListenabsatzZchn">
    <w:name w:val="Listenabsatz Zchn"/>
    <w:basedOn w:val="Absatz-Standardschriftart"/>
    <w:link w:val="Listenabsatz"/>
    <w:uiPriority w:val="34"/>
    <w:rPr>
      <w:rFonts w:ascii="Arial" w:hAnsi="Arial"/>
      <w:sz w:val="15"/>
    </w:rPr>
  </w:style>
  <w:style w:type="paragraph" w:styleId="HTMLVorformatiert">
    <w:name w:val="HTML Preformatted"/>
    <w:basedOn w:val="Standard"/>
    <w:link w:val="HTMLVorformatiertZchn"/>
    <w:uiPriority w:val="99"/>
    <w:semiHidden/>
    <w:unhideWhenUsed/>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rPr>
  </w:style>
  <w:style w:type="paragraph" w:customStyle="1" w:styleId="Default">
    <w:name w:val="Default"/>
    <w:rsid w:val="007E5C0B"/>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847">
      <w:bodyDiv w:val="1"/>
      <w:marLeft w:val="0"/>
      <w:marRight w:val="0"/>
      <w:marTop w:val="0"/>
      <w:marBottom w:val="0"/>
      <w:divBdr>
        <w:top w:val="none" w:sz="0" w:space="0" w:color="auto"/>
        <w:left w:val="none" w:sz="0" w:space="0" w:color="auto"/>
        <w:bottom w:val="none" w:sz="0" w:space="0" w:color="auto"/>
        <w:right w:val="none" w:sz="0" w:space="0" w:color="auto"/>
      </w:divBdr>
    </w:div>
    <w:div w:id="394818627">
      <w:bodyDiv w:val="1"/>
      <w:marLeft w:val="0"/>
      <w:marRight w:val="0"/>
      <w:marTop w:val="0"/>
      <w:marBottom w:val="0"/>
      <w:divBdr>
        <w:top w:val="none" w:sz="0" w:space="0" w:color="auto"/>
        <w:left w:val="none" w:sz="0" w:space="0" w:color="auto"/>
        <w:bottom w:val="none" w:sz="0" w:space="0" w:color="auto"/>
        <w:right w:val="none" w:sz="0" w:space="0" w:color="auto"/>
      </w:divBdr>
    </w:div>
    <w:div w:id="511721225">
      <w:bodyDiv w:val="1"/>
      <w:marLeft w:val="0"/>
      <w:marRight w:val="0"/>
      <w:marTop w:val="0"/>
      <w:marBottom w:val="0"/>
      <w:divBdr>
        <w:top w:val="none" w:sz="0" w:space="0" w:color="auto"/>
        <w:left w:val="none" w:sz="0" w:space="0" w:color="auto"/>
        <w:bottom w:val="none" w:sz="0" w:space="0" w:color="auto"/>
        <w:right w:val="none" w:sz="0" w:space="0" w:color="auto"/>
      </w:divBdr>
    </w:div>
    <w:div w:id="744573928">
      <w:bodyDiv w:val="1"/>
      <w:marLeft w:val="0"/>
      <w:marRight w:val="0"/>
      <w:marTop w:val="0"/>
      <w:marBottom w:val="0"/>
      <w:divBdr>
        <w:top w:val="none" w:sz="0" w:space="0" w:color="auto"/>
        <w:left w:val="none" w:sz="0" w:space="0" w:color="auto"/>
        <w:bottom w:val="none" w:sz="0" w:space="0" w:color="auto"/>
        <w:right w:val="none" w:sz="0" w:space="0" w:color="auto"/>
      </w:divBdr>
      <w:divsChild>
        <w:div w:id="942541482">
          <w:marLeft w:val="0"/>
          <w:marRight w:val="0"/>
          <w:marTop w:val="0"/>
          <w:marBottom w:val="0"/>
          <w:divBdr>
            <w:top w:val="none" w:sz="0" w:space="0" w:color="auto"/>
            <w:left w:val="none" w:sz="0" w:space="0" w:color="auto"/>
            <w:bottom w:val="none" w:sz="0" w:space="0" w:color="auto"/>
            <w:right w:val="none" w:sz="0" w:space="0" w:color="auto"/>
          </w:divBdr>
          <w:divsChild>
            <w:div w:id="1938783716">
              <w:marLeft w:val="0"/>
              <w:marRight w:val="0"/>
              <w:marTop w:val="0"/>
              <w:marBottom w:val="0"/>
              <w:divBdr>
                <w:top w:val="none" w:sz="0" w:space="0" w:color="auto"/>
                <w:left w:val="none" w:sz="0" w:space="0" w:color="auto"/>
                <w:bottom w:val="none" w:sz="0" w:space="0" w:color="auto"/>
                <w:right w:val="none" w:sz="0" w:space="0" w:color="auto"/>
              </w:divBdr>
              <w:divsChild>
                <w:div w:id="2140297946">
                  <w:marLeft w:val="0"/>
                  <w:marRight w:val="0"/>
                  <w:marTop w:val="0"/>
                  <w:marBottom w:val="0"/>
                  <w:divBdr>
                    <w:top w:val="none" w:sz="0" w:space="0" w:color="auto"/>
                    <w:left w:val="none" w:sz="0" w:space="0" w:color="auto"/>
                    <w:bottom w:val="none" w:sz="0" w:space="0" w:color="auto"/>
                    <w:right w:val="none" w:sz="0" w:space="0" w:color="auto"/>
                  </w:divBdr>
                  <w:divsChild>
                    <w:div w:id="1178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29333">
      <w:bodyDiv w:val="1"/>
      <w:marLeft w:val="0"/>
      <w:marRight w:val="0"/>
      <w:marTop w:val="0"/>
      <w:marBottom w:val="0"/>
      <w:divBdr>
        <w:top w:val="none" w:sz="0" w:space="0" w:color="auto"/>
        <w:left w:val="none" w:sz="0" w:space="0" w:color="auto"/>
        <w:bottom w:val="none" w:sz="0" w:space="0" w:color="auto"/>
        <w:right w:val="none" w:sz="0" w:space="0" w:color="auto"/>
      </w:divBdr>
    </w:div>
    <w:div w:id="933128224">
      <w:bodyDiv w:val="1"/>
      <w:marLeft w:val="0"/>
      <w:marRight w:val="0"/>
      <w:marTop w:val="0"/>
      <w:marBottom w:val="0"/>
      <w:divBdr>
        <w:top w:val="none" w:sz="0" w:space="0" w:color="auto"/>
        <w:left w:val="none" w:sz="0" w:space="0" w:color="auto"/>
        <w:bottom w:val="none" w:sz="0" w:space="0" w:color="auto"/>
        <w:right w:val="none" w:sz="0" w:space="0" w:color="auto"/>
      </w:divBdr>
    </w:div>
    <w:div w:id="1236086226">
      <w:bodyDiv w:val="1"/>
      <w:marLeft w:val="0"/>
      <w:marRight w:val="0"/>
      <w:marTop w:val="0"/>
      <w:marBottom w:val="0"/>
      <w:divBdr>
        <w:top w:val="none" w:sz="0" w:space="0" w:color="auto"/>
        <w:left w:val="none" w:sz="0" w:space="0" w:color="auto"/>
        <w:bottom w:val="none" w:sz="0" w:space="0" w:color="auto"/>
        <w:right w:val="none" w:sz="0" w:space="0" w:color="auto"/>
      </w:divBdr>
    </w:div>
    <w:div w:id="1667318901">
      <w:bodyDiv w:val="1"/>
      <w:marLeft w:val="0"/>
      <w:marRight w:val="0"/>
      <w:marTop w:val="0"/>
      <w:marBottom w:val="0"/>
      <w:divBdr>
        <w:top w:val="none" w:sz="0" w:space="0" w:color="auto"/>
        <w:left w:val="none" w:sz="0" w:space="0" w:color="auto"/>
        <w:bottom w:val="none" w:sz="0" w:space="0" w:color="auto"/>
        <w:right w:val="none" w:sz="0" w:space="0" w:color="auto"/>
      </w:divBdr>
    </w:div>
    <w:div w:id="1798990200">
      <w:bodyDiv w:val="1"/>
      <w:marLeft w:val="0"/>
      <w:marRight w:val="0"/>
      <w:marTop w:val="0"/>
      <w:marBottom w:val="0"/>
      <w:divBdr>
        <w:top w:val="none" w:sz="0" w:space="0" w:color="auto"/>
        <w:left w:val="none" w:sz="0" w:space="0" w:color="auto"/>
        <w:bottom w:val="none" w:sz="0" w:space="0" w:color="auto"/>
        <w:right w:val="none" w:sz="0" w:space="0" w:color="auto"/>
      </w:divBdr>
    </w:div>
    <w:div w:id="1879271867">
      <w:bodyDiv w:val="1"/>
      <w:marLeft w:val="0"/>
      <w:marRight w:val="0"/>
      <w:marTop w:val="0"/>
      <w:marBottom w:val="0"/>
      <w:divBdr>
        <w:top w:val="none" w:sz="0" w:space="0" w:color="auto"/>
        <w:left w:val="none" w:sz="0" w:space="0" w:color="auto"/>
        <w:bottom w:val="none" w:sz="0" w:space="0" w:color="auto"/>
        <w:right w:val="none" w:sz="0" w:space="0" w:color="auto"/>
      </w:divBdr>
    </w:div>
    <w:div w:id="1896504487">
      <w:bodyDiv w:val="1"/>
      <w:marLeft w:val="0"/>
      <w:marRight w:val="0"/>
      <w:marTop w:val="0"/>
      <w:marBottom w:val="0"/>
      <w:divBdr>
        <w:top w:val="none" w:sz="0" w:space="0" w:color="auto"/>
        <w:left w:val="none" w:sz="0" w:space="0" w:color="auto"/>
        <w:bottom w:val="none" w:sz="0" w:space="0" w:color="auto"/>
        <w:right w:val="none" w:sz="0" w:space="0" w:color="auto"/>
      </w:divBdr>
    </w:div>
    <w:div w:id="1975744771">
      <w:bodyDiv w:val="1"/>
      <w:marLeft w:val="0"/>
      <w:marRight w:val="0"/>
      <w:marTop w:val="0"/>
      <w:marBottom w:val="0"/>
      <w:divBdr>
        <w:top w:val="none" w:sz="0" w:space="0" w:color="auto"/>
        <w:left w:val="none" w:sz="0" w:space="0" w:color="auto"/>
        <w:bottom w:val="none" w:sz="0" w:space="0" w:color="auto"/>
        <w:right w:val="none" w:sz="0" w:space="0" w:color="auto"/>
      </w:divBdr>
    </w:div>
    <w:div w:id="2001687632">
      <w:bodyDiv w:val="1"/>
      <w:marLeft w:val="0"/>
      <w:marRight w:val="0"/>
      <w:marTop w:val="0"/>
      <w:marBottom w:val="0"/>
      <w:divBdr>
        <w:top w:val="none" w:sz="0" w:space="0" w:color="auto"/>
        <w:left w:val="none" w:sz="0" w:space="0" w:color="auto"/>
        <w:bottom w:val="none" w:sz="0" w:space="0" w:color="auto"/>
        <w:right w:val="none" w:sz="0" w:space="0" w:color="auto"/>
      </w:divBdr>
    </w:div>
    <w:div w:id="21125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Layout" Target="diagrams/layout1.xml"/><Relationship Id="rId26" Type="http://schemas.openxmlformats.org/officeDocument/2006/relationships/chart" Target="charts/chart20.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Data" Target="diagrams/data1.xml"/><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diagramColors" Target="diagrams/colors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1.xml"/><Relationship Id="rId28"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diagramQuickStyle" Target="diagrams/quickStyle1.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20.xml"/><Relationship Id="rId1" Type="http://schemas.microsoft.com/office/2011/relationships/chartStyle" Target="style2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de-DE" sz="750" baseline="0"/>
              <a:t>1. </a:t>
            </a:r>
            <a:r>
              <a:rPr lang="de-DE" sz="750" b="0" i="0" u="none" strike="noStrike" baseline="0">
                <a:effectLst/>
              </a:rPr>
              <a:t>Taxonomiekonformität der Investitionen einschließlich Staatsanleihen*</a:t>
            </a:r>
            <a:endParaRPr lang="de-DE" sz="750" baseline="0"/>
          </a:p>
        </c:rich>
      </c:tx>
      <c:layout>
        <c:manualLayout>
          <c:xMode val="edge"/>
          <c:yMode val="edge"/>
          <c:x val="0.1622970404561499"/>
          <c:y val="2.8930446194225721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Tabelle1!$B$1</c:f>
              <c:strCache>
                <c:ptCount val="1"/>
                <c:pt idx="0">
                  <c:v>Taxonomikonform: Fossiles Gas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Tabelle1!$B$2:$B$4</c:f>
              <c:numCache>
                <c:formatCode>0%</c:formatCode>
                <c:ptCount val="3"/>
                <c:pt idx="0">
                  <c:v>0</c:v>
                </c:pt>
                <c:pt idx="1">
                  <c:v>0</c:v>
                </c:pt>
                <c:pt idx="2">
                  <c:v>0</c:v>
                </c:pt>
              </c:numCache>
            </c:numRef>
          </c:val>
          <c:extLst>
            <c:ext xmlns:c16="http://schemas.microsoft.com/office/drawing/2014/chart" uri="{C3380CC4-5D6E-409C-BE32-E72D297353CC}">
              <c16:uniqueId val="{00000000-555E-4B60-9995-6609674DACB7}"/>
            </c:ext>
          </c:extLst>
        </c:ser>
        <c:ser>
          <c:idx val="1"/>
          <c:order val="1"/>
          <c:tx>
            <c:strRef>
              <c:f>Tabelle1!$C$1</c:f>
              <c:strCache>
                <c:ptCount val="1"/>
                <c:pt idx="0">
                  <c:v>Taxonomiekonform: Kernergie</c:v>
                </c:pt>
              </c:strCache>
            </c:strRef>
          </c:tx>
          <c:spPr>
            <a:solidFill>
              <a:schemeClr val="bg1">
                <a:lumMod val="75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2-555E-4B60-9995-6609674DACB7}"/>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4-555E-4B60-9995-6609674DACB7}"/>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6-555E-4B60-9995-6609674DACB7}"/>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Tabelle1!$C$2:$C$4</c:f>
              <c:numCache>
                <c:formatCode>0%</c:formatCode>
                <c:ptCount val="3"/>
                <c:pt idx="0">
                  <c:v>0</c:v>
                </c:pt>
                <c:pt idx="1">
                  <c:v>0</c:v>
                </c:pt>
                <c:pt idx="2">
                  <c:v>0</c:v>
                </c:pt>
              </c:numCache>
            </c:numRef>
          </c:val>
          <c:extLst>
            <c:ext xmlns:c16="http://schemas.microsoft.com/office/drawing/2014/chart" uri="{C3380CC4-5D6E-409C-BE32-E72D297353CC}">
              <c16:uniqueId val="{00000007-555E-4B60-9995-6609674DACB7}"/>
            </c:ext>
          </c:extLst>
        </c:ser>
        <c:ser>
          <c:idx val="2"/>
          <c:order val="2"/>
          <c:tx>
            <c:strRef>
              <c:f>Tabelle1!$D$1</c:f>
              <c:strCache>
                <c:ptCount val="1"/>
                <c:pt idx="0">
                  <c:v>Taxonomiekonform: (ohne fossiles Gas und Kernenergie)</c:v>
                </c:pt>
              </c:strCache>
            </c:strRef>
          </c:tx>
          <c:spPr>
            <a:solidFill>
              <a:schemeClr val="accent3"/>
            </a:solidFill>
            <a:ln>
              <a:noFill/>
            </a:ln>
            <a:effectLst/>
          </c:spPr>
          <c:invertIfNegative val="0"/>
          <c:dLbls>
            <c:delete val="1"/>
          </c:dLbls>
          <c:cat>
            <c:strRef>
              <c:f>Tabelle1!$A$2:$A$4</c:f>
              <c:strCache>
                <c:ptCount val="3"/>
                <c:pt idx="0">
                  <c:v>OpEx</c:v>
                </c:pt>
                <c:pt idx="1">
                  <c:v>CapEx</c:v>
                </c:pt>
                <c:pt idx="2">
                  <c:v>Umsatzerlöse</c:v>
                </c:pt>
              </c:strCache>
            </c:strRef>
          </c:cat>
          <c:val>
            <c:numRef>
              <c:f>Tabelle1!$D$2:$D$4</c:f>
              <c:numCache>
                <c:formatCode>General</c:formatCode>
                <c:ptCount val="3"/>
                <c:pt idx="0">
                  <c:v>0</c:v>
                </c:pt>
                <c:pt idx="1">
                  <c:v>0</c:v>
                </c:pt>
                <c:pt idx="2">
                  <c:v>0</c:v>
                </c:pt>
              </c:numCache>
            </c:numRef>
          </c:val>
          <c:extLst>
            <c:ext xmlns:c16="http://schemas.microsoft.com/office/drawing/2014/chart" uri="{C3380CC4-5D6E-409C-BE32-E72D297353CC}">
              <c16:uniqueId val="{00000008-555E-4B60-9995-6609674DACB7}"/>
            </c:ext>
          </c:extLst>
        </c:ser>
        <c:ser>
          <c:idx val="3"/>
          <c:order val="3"/>
          <c:tx>
            <c:strRef>
              <c:f>Tabelle1!$E$1</c:f>
              <c:strCache>
                <c:ptCount val="1"/>
                <c:pt idx="0">
                  <c:v>Nicht taxonomiekonform</c:v>
                </c:pt>
              </c:strCache>
            </c:strRef>
          </c:tx>
          <c:spPr>
            <a:solidFill>
              <a:schemeClr val="accent4"/>
            </a:solidFill>
            <a:ln>
              <a:noFill/>
            </a:ln>
            <a:effectLst/>
          </c:spPr>
          <c:invertIfNegative val="0"/>
          <c:dLbls>
            <c:delete val="1"/>
          </c:dLbls>
          <c:cat>
            <c:strRef>
              <c:f>Tabelle1!$A$2:$A$4</c:f>
              <c:strCache>
                <c:ptCount val="3"/>
                <c:pt idx="0">
                  <c:v>OpEx</c:v>
                </c:pt>
                <c:pt idx="1">
                  <c:v>CapEx</c:v>
                </c:pt>
                <c:pt idx="2">
                  <c:v>Umsatzerlöse</c:v>
                </c:pt>
              </c:strCache>
            </c:strRef>
          </c:cat>
          <c:val>
            <c:numRef>
              <c:f>Tabelle1!$E$2:$E$4</c:f>
              <c:numCache>
                <c:formatCode>General</c:formatCode>
                <c:ptCount val="3"/>
                <c:pt idx="0">
                  <c:v>100</c:v>
                </c:pt>
                <c:pt idx="1">
                  <c:v>100</c:v>
                </c:pt>
                <c:pt idx="2">
                  <c:v>100</c:v>
                </c:pt>
              </c:numCache>
            </c:numRef>
          </c:val>
          <c:extLst>
            <c:ext xmlns:c16="http://schemas.microsoft.com/office/drawing/2014/chart" uri="{C3380CC4-5D6E-409C-BE32-E72D297353CC}">
              <c16:uniqueId val="{00000009-555E-4B60-9995-6609674DACB7}"/>
            </c:ext>
          </c:extLst>
        </c:ser>
        <c:dLbls>
          <c:dLblPos val="ctr"/>
          <c:showLegendKey val="0"/>
          <c:showVal val="1"/>
          <c:showCatName val="0"/>
          <c:showSerName val="0"/>
          <c:showPercent val="0"/>
          <c:showBubbleSize val="0"/>
        </c:dLbls>
        <c:gapWidth val="150"/>
        <c:overlap val="100"/>
        <c:axId val="802623984"/>
        <c:axId val="802624768"/>
      </c:barChart>
      <c:catAx>
        <c:axId val="80262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4768"/>
        <c:crosses val="autoZero"/>
        <c:auto val="1"/>
        <c:lblAlgn val="ctr"/>
        <c:lblOffset val="100"/>
        <c:noMultiLvlLbl val="0"/>
      </c:catAx>
      <c:valAx>
        <c:axId val="80262476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3984"/>
        <c:crosses val="autoZero"/>
        <c:crossBetween val="between"/>
        <c:dispUnits>
          <c:builtInUnit val="hundreds"/>
        </c:dispUnits>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de-DE"/>
          </a:p>
        </c:txPr>
      </c:legendEntry>
      <c:layout>
        <c:manualLayout>
          <c:xMode val="edge"/>
          <c:yMode val="edge"/>
          <c:x val="7.0490994660150241E-2"/>
          <c:y val="0.49910802165354329"/>
          <c:w val="0.86476468458684042"/>
          <c:h val="0.407141978346456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pPr>
      <a:endParaRPr lang="de-D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de-DE" sz="750" baseline="0"/>
              <a:t>1. </a:t>
            </a:r>
            <a:r>
              <a:rPr lang="de-DE" sz="750" b="0" i="0" u="none" strike="noStrike" baseline="0">
                <a:effectLst/>
              </a:rPr>
              <a:t>Taxonomiekonformität der Investitionen einschließlich Staatsanleihen*</a:t>
            </a:r>
            <a:endParaRPr lang="de-DE" sz="750" baseline="0"/>
          </a:p>
        </c:rich>
      </c:tx>
      <c:layout>
        <c:manualLayout>
          <c:xMode val="edge"/>
          <c:yMode val="edge"/>
          <c:x val="0.1622970404561499"/>
          <c:y val="2.8930446194225721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Tabelle1!$B$1</c:f>
              <c:strCache>
                <c:ptCount val="1"/>
                <c:pt idx="0">
                  <c:v>Taxonomikonform: Fossiles Gas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Tabelle1!$B$2:$B$4</c:f>
              <c:numCache>
                <c:formatCode>0%</c:formatCode>
                <c:ptCount val="3"/>
                <c:pt idx="0">
                  <c:v>0</c:v>
                </c:pt>
                <c:pt idx="1">
                  <c:v>0</c:v>
                </c:pt>
                <c:pt idx="2">
                  <c:v>0</c:v>
                </c:pt>
              </c:numCache>
            </c:numRef>
          </c:val>
          <c:extLst>
            <c:ext xmlns:c16="http://schemas.microsoft.com/office/drawing/2014/chart" uri="{C3380CC4-5D6E-409C-BE32-E72D297353CC}">
              <c16:uniqueId val="{00000000-555E-4B60-9995-6609674DACB7}"/>
            </c:ext>
          </c:extLst>
        </c:ser>
        <c:ser>
          <c:idx val="1"/>
          <c:order val="1"/>
          <c:tx>
            <c:strRef>
              <c:f>Tabelle1!$C$1</c:f>
              <c:strCache>
                <c:ptCount val="1"/>
                <c:pt idx="0">
                  <c:v>Taxonomiekonform: Kernergie</c:v>
                </c:pt>
              </c:strCache>
            </c:strRef>
          </c:tx>
          <c:spPr>
            <a:solidFill>
              <a:schemeClr val="bg1">
                <a:lumMod val="75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2-555E-4B60-9995-6609674DACB7}"/>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4-555E-4B60-9995-6609674DACB7}"/>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6-555E-4B60-9995-6609674DACB7}"/>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Tabelle1!$C$2:$C$4</c:f>
              <c:numCache>
                <c:formatCode>0%</c:formatCode>
                <c:ptCount val="3"/>
                <c:pt idx="0">
                  <c:v>0</c:v>
                </c:pt>
                <c:pt idx="1">
                  <c:v>0</c:v>
                </c:pt>
                <c:pt idx="2">
                  <c:v>0</c:v>
                </c:pt>
              </c:numCache>
            </c:numRef>
          </c:val>
          <c:extLst>
            <c:ext xmlns:c16="http://schemas.microsoft.com/office/drawing/2014/chart" uri="{C3380CC4-5D6E-409C-BE32-E72D297353CC}">
              <c16:uniqueId val="{00000007-555E-4B60-9995-6609674DACB7}"/>
            </c:ext>
          </c:extLst>
        </c:ser>
        <c:ser>
          <c:idx val="2"/>
          <c:order val="2"/>
          <c:tx>
            <c:strRef>
              <c:f>Tabelle1!$D$1</c:f>
              <c:strCache>
                <c:ptCount val="1"/>
                <c:pt idx="0">
                  <c:v>Taxonomiekonform: (ohne fossiles Gas und Kernenergie</c:v>
                </c:pt>
              </c:strCache>
            </c:strRef>
          </c:tx>
          <c:spPr>
            <a:solidFill>
              <a:schemeClr val="accent3"/>
            </a:solidFill>
            <a:ln>
              <a:noFill/>
            </a:ln>
            <a:effectLst/>
          </c:spPr>
          <c:invertIfNegative val="0"/>
          <c:dLbls>
            <c:delete val="1"/>
          </c:dLbls>
          <c:cat>
            <c:strRef>
              <c:f>Tabelle1!$A$2:$A$4</c:f>
              <c:strCache>
                <c:ptCount val="3"/>
                <c:pt idx="0">
                  <c:v>OpEx</c:v>
                </c:pt>
                <c:pt idx="1">
                  <c:v>CapEx</c:v>
                </c:pt>
                <c:pt idx="2">
                  <c:v>Umsatzerlöse</c:v>
                </c:pt>
              </c:strCache>
            </c:strRef>
          </c:cat>
          <c:val>
            <c:numRef>
              <c:f>Tabelle1!$D$2:$D$4</c:f>
              <c:numCache>
                <c:formatCode>General</c:formatCode>
                <c:ptCount val="3"/>
                <c:pt idx="0">
                  <c:v>0</c:v>
                </c:pt>
                <c:pt idx="1">
                  <c:v>0</c:v>
                </c:pt>
                <c:pt idx="2">
                  <c:v>0</c:v>
                </c:pt>
              </c:numCache>
            </c:numRef>
          </c:val>
          <c:extLst>
            <c:ext xmlns:c16="http://schemas.microsoft.com/office/drawing/2014/chart" uri="{C3380CC4-5D6E-409C-BE32-E72D297353CC}">
              <c16:uniqueId val="{00000008-555E-4B60-9995-6609674DACB7}"/>
            </c:ext>
          </c:extLst>
        </c:ser>
        <c:ser>
          <c:idx val="3"/>
          <c:order val="3"/>
          <c:tx>
            <c:strRef>
              <c:f>Tabelle1!$E$1</c:f>
              <c:strCache>
                <c:ptCount val="1"/>
                <c:pt idx="0">
                  <c:v>Nicht taxonomiekonform</c:v>
                </c:pt>
              </c:strCache>
            </c:strRef>
          </c:tx>
          <c:spPr>
            <a:solidFill>
              <a:schemeClr val="accent4"/>
            </a:solidFill>
            <a:ln>
              <a:noFill/>
            </a:ln>
            <a:effectLst/>
          </c:spPr>
          <c:invertIfNegative val="0"/>
          <c:dLbls>
            <c:delete val="1"/>
          </c:dLbls>
          <c:cat>
            <c:strRef>
              <c:f>Tabelle1!$A$2:$A$4</c:f>
              <c:strCache>
                <c:ptCount val="3"/>
                <c:pt idx="0">
                  <c:v>OpEx</c:v>
                </c:pt>
                <c:pt idx="1">
                  <c:v>CapEx</c:v>
                </c:pt>
                <c:pt idx="2">
                  <c:v>Umsatzerlöse</c:v>
                </c:pt>
              </c:strCache>
            </c:strRef>
          </c:cat>
          <c:val>
            <c:numRef>
              <c:f>Tabelle1!$E$2:$E$4</c:f>
              <c:numCache>
                <c:formatCode>General</c:formatCode>
                <c:ptCount val="3"/>
                <c:pt idx="0">
                  <c:v>100</c:v>
                </c:pt>
                <c:pt idx="1">
                  <c:v>100</c:v>
                </c:pt>
                <c:pt idx="2">
                  <c:v>100</c:v>
                </c:pt>
              </c:numCache>
            </c:numRef>
          </c:val>
          <c:extLst>
            <c:ext xmlns:c16="http://schemas.microsoft.com/office/drawing/2014/chart" uri="{C3380CC4-5D6E-409C-BE32-E72D297353CC}">
              <c16:uniqueId val="{00000009-555E-4B60-9995-6609674DACB7}"/>
            </c:ext>
          </c:extLst>
        </c:ser>
        <c:dLbls>
          <c:dLblPos val="ctr"/>
          <c:showLegendKey val="0"/>
          <c:showVal val="1"/>
          <c:showCatName val="0"/>
          <c:showSerName val="0"/>
          <c:showPercent val="0"/>
          <c:showBubbleSize val="0"/>
        </c:dLbls>
        <c:gapWidth val="150"/>
        <c:overlap val="100"/>
        <c:axId val="802623984"/>
        <c:axId val="802624768"/>
      </c:barChart>
      <c:catAx>
        <c:axId val="802623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4768"/>
        <c:crosses val="autoZero"/>
        <c:auto val="1"/>
        <c:lblAlgn val="ctr"/>
        <c:lblOffset val="100"/>
        <c:noMultiLvlLbl val="0"/>
      </c:catAx>
      <c:valAx>
        <c:axId val="80262476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3984"/>
        <c:crosses val="autoZero"/>
        <c:crossBetween val="between"/>
        <c:dispUnits>
          <c:builtInUnit val="hundreds"/>
        </c:dispUnits>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de-DE"/>
          </a:p>
        </c:txPr>
      </c:legendEntry>
      <c:layout>
        <c:manualLayout>
          <c:xMode val="edge"/>
          <c:yMode val="edge"/>
          <c:x val="7.0490994660150241E-2"/>
          <c:y val="0.49910802165354329"/>
          <c:w val="0.86476468458684042"/>
          <c:h val="0.407141978346456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de-DE" sz="800" baseline="0"/>
              <a:t>2. Taxonomiekonformität der Investitionen ohne Staatsanleihen*</a:t>
            </a:r>
          </a:p>
        </c:rich>
      </c:tx>
      <c:layout>
        <c:manualLayout>
          <c:xMode val="edge"/>
          <c:yMode val="edge"/>
          <c:x val="0.15016017930694581"/>
          <c:y val="1.7638548970264654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31702500674747996"/>
          <c:y val="0.19528321963324191"/>
          <c:w val="0.56972622833472197"/>
          <c:h val="0.23606307243211122"/>
        </c:manualLayout>
      </c:layout>
      <c:barChart>
        <c:barDir val="bar"/>
        <c:grouping val="stacked"/>
        <c:varyColors val="0"/>
        <c:ser>
          <c:idx val="0"/>
          <c:order val="0"/>
          <c:tx>
            <c:strRef>
              <c:f>Tabelle1!$B$1</c:f>
              <c:strCache>
                <c:ptCount val="1"/>
                <c:pt idx="0">
                  <c:v>Taxonomiekonform: Fossiles Gas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Tabelle1!$B$2:$B$4</c:f>
              <c:numCache>
                <c:formatCode>0%</c:formatCode>
                <c:ptCount val="3"/>
                <c:pt idx="0">
                  <c:v>0</c:v>
                </c:pt>
                <c:pt idx="1">
                  <c:v>0</c:v>
                </c:pt>
                <c:pt idx="2">
                  <c:v>0</c:v>
                </c:pt>
              </c:numCache>
            </c:numRef>
          </c:val>
          <c:extLst>
            <c:ext xmlns:c16="http://schemas.microsoft.com/office/drawing/2014/chart" uri="{C3380CC4-5D6E-409C-BE32-E72D297353CC}">
              <c16:uniqueId val="{00000000-20E6-4A9B-9251-AC8B1FE1BA7E}"/>
            </c:ext>
          </c:extLst>
        </c:ser>
        <c:ser>
          <c:idx val="1"/>
          <c:order val="1"/>
          <c:tx>
            <c:strRef>
              <c:f>Tabelle1!$C$1</c:f>
              <c:strCache>
                <c:ptCount val="1"/>
                <c:pt idx="0">
                  <c:v>Taxonomiekonform: Kernenergie</c:v>
                </c:pt>
              </c:strCache>
            </c:strRef>
          </c:tx>
          <c:spPr>
            <a:solidFill>
              <a:schemeClr val="bg1">
                <a:lumMod val="75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2-20E6-4A9B-9251-AC8B1FE1BA7E}"/>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4-20E6-4A9B-9251-AC8B1FE1BA7E}"/>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6-20E6-4A9B-9251-AC8B1FE1BA7E}"/>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Tabelle1!$C$2:$C$4</c:f>
              <c:numCache>
                <c:formatCode>0%</c:formatCode>
                <c:ptCount val="3"/>
                <c:pt idx="0">
                  <c:v>0</c:v>
                </c:pt>
                <c:pt idx="1">
                  <c:v>0</c:v>
                </c:pt>
                <c:pt idx="2">
                  <c:v>0</c:v>
                </c:pt>
              </c:numCache>
            </c:numRef>
          </c:val>
          <c:extLst>
            <c:ext xmlns:c16="http://schemas.microsoft.com/office/drawing/2014/chart" uri="{C3380CC4-5D6E-409C-BE32-E72D297353CC}">
              <c16:uniqueId val="{00000007-20E6-4A9B-9251-AC8B1FE1BA7E}"/>
            </c:ext>
          </c:extLst>
        </c:ser>
        <c:ser>
          <c:idx val="2"/>
          <c:order val="2"/>
          <c:tx>
            <c:strRef>
              <c:f>Tabelle1!$D$1</c:f>
              <c:strCache>
                <c:ptCount val="1"/>
                <c:pt idx="0">
                  <c:v>Taxonomiekonform: (ohne fossiles Gas und Kernenergie)</c:v>
                </c:pt>
              </c:strCache>
            </c:strRef>
          </c:tx>
          <c:spPr>
            <a:solidFill>
              <a:schemeClr val="accent3"/>
            </a:solidFill>
            <a:ln>
              <a:noFill/>
            </a:ln>
            <a:effectLst/>
          </c:spPr>
          <c:invertIfNegative val="0"/>
          <c:dLbls>
            <c:delete val="1"/>
          </c:dLbls>
          <c:cat>
            <c:strRef>
              <c:f>Tabelle1!$A$2:$A$4</c:f>
              <c:strCache>
                <c:ptCount val="3"/>
                <c:pt idx="0">
                  <c:v>OpEx</c:v>
                </c:pt>
                <c:pt idx="1">
                  <c:v>CapEx</c:v>
                </c:pt>
                <c:pt idx="2">
                  <c:v>Umsatzerlöse</c:v>
                </c:pt>
              </c:strCache>
            </c:strRef>
          </c:cat>
          <c:val>
            <c:numRef>
              <c:f>Tabelle1!$D$2:$D$4</c:f>
              <c:numCache>
                <c:formatCode>General</c:formatCode>
                <c:ptCount val="3"/>
                <c:pt idx="0">
                  <c:v>0</c:v>
                </c:pt>
                <c:pt idx="1">
                  <c:v>0</c:v>
                </c:pt>
                <c:pt idx="2">
                  <c:v>0</c:v>
                </c:pt>
              </c:numCache>
            </c:numRef>
          </c:val>
          <c:extLst>
            <c:ext xmlns:c16="http://schemas.microsoft.com/office/drawing/2014/chart" uri="{C3380CC4-5D6E-409C-BE32-E72D297353CC}">
              <c16:uniqueId val="{00000008-20E6-4A9B-9251-AC8B1FE1BA7E}"/>
            </c:ext>
          </c:extLst>
        </c:ser>
        <c:ser>
          <c:idx val="3"/>
          <c:order val="3"/>
          <c:tx>
            <c:strRef>
              <c:f>Tabelle1!$E$1</c:f>
              <c:strCache>
                <c:ptCount val="1"/>
                <c:pt idx="0">
                  <c:v>Nicht taxonomiekonform</c:v>
                </c:pt>
              </c:strCache>
            </c:strRef>
          </c:tx>
          <c:spPr>
            <a:solidFill>
              <a:schemeClr val="accent4"/>
            </a:solidFill>
            <a:ln>
              <a:noFill/>
            </a:ln>
            <a:effectLst/>
          </c:spPr>
          <c:invertIfNegative val="0"/>
          <c:dLbls>
            <c:delete val="1"/>
          </c:dLbls>
          <c:cat>
            <c:strRef>
              <c:f>Tabelle1!$A$2:$A$4</c:f>
              <c:strCache>
                <c:ptCount val="3"/>
                <c:pt idx="0">
                  <c:v>OpEx</c:v>
                </c:pt>
                <c:pt idx="1">
                  <c:v>CapEx</c:v>
                </c:pt>
                <c:pt idx="2">
                  <c:v>Umsatzerlöse</c:v>
                </c:pt>
              </c:strCache>
            </c:strRef>
          </c:cat>
          <c:val>
            <c:numRef>
              <c:f>Tabelle1!$E$2:$E$4</c:f>
              <c:numCache>
                <c:formatCode>General</c:formatCode>
                <c:ptCount val="3"/>
                <c:pt idx="0">
                  <c:v>100</c:v>
                </c:pt>
                <c:pt idx="1">
                  <c:v>100</c:v>
                </c:pt>
                <c:pt idx="2">
                  <c:v>100</c:v>
                </c:pt>
              </c:numCache>
            </c:numRef>
          </c:val>
          <c:extLst>
            <c:ext xmlns:c16="http://schemas.microsoft.com/office/drawing/2014/chart" uri="{C3380CC4-5D6E-409C-BE32-E72D297353CC}">
              <c16:uniqueId val="{00000009-20E6-4A9B-9251-AC8B1FE1BA7E}"/>
            </c:ext>
          </c:extLst>
        </c:ser>
        <c:dLbls>
          <c:dLblPos val="ctr"/>
          <c:showLegendKey val="0"/>
          <c:showVal val="1"/>
          <c:showCatName val="0"/>
          <c:showSerName val="0"/>
          <c:showPercent val="0"/>
          <c:showBubbleSize val="0"/>
        </c:dLbls>
        <c:gapWidth val="150"/>
        <c:overlap val="100"/>
        <c:axId val="802621632"/>
        <c:axId val="802620456"/>
      </c:barChart>
      <c:catAx>
        <c:axId val="80262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0456"/>
        <c:crosses val="autoZero"/>
        <c:auto val="1"/>
        <c:lblAlgn val="ctr"/>
        <c:lblOffset val="100"/>
        <c:noMultiLvlLbl val="0"/>
      </c:catAx>
      <c:valAx>
        <c:axId val="80262045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1632"/>
        <c:crosses val="autoZero"/>
        <c:crossBetween val="between"/>
        <c:dispUnits>
          <c:builtInUnit val="hundreds"/>
        </c:dispUnits>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de-DE"/>
          </a:p>
        </c:txPr>
      </c:legendEntry>
      <c:layout>
        <c:manualLayout>
          <c:xMode val="edge"/>
          <c:yMode val="edge"/>
          <c:x val="5.4488658366288419E-2"/>
          <c:y val="0.51977939906925208"/>
          <c:w val="0.88506143140453197"/>
          <c:h val="0.424126771252012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pPr>
      <a:endParaRPr lang="de-DE"/>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de-DE" sz="800" baseline="0"/>
              <a:t>2. Taxonomiekonformität der Investitionen ohne Staatsanleihen*</a:t>
            </a:r>
          </a:p>
        </c:rich>
      </c:tx>
      <c:layout>
        <c:manualLayout>
          <c:xMode val="edge"/>
          <c:yMode val="edge"/>
          <c:x val="0.15016017930694581"/>
          <c:y val="1.7638548970264654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31702500674747996"/>
          <c:y val="0.19528321963324191"/>
          <c:w val="0.56972622833472197"/>
          <c:h val="0.23606307243211122"/>
        </c:manualLayout>
      </c:layout>
      <c:barChart>
        <c:barDir val="bar"/>
        <c:grouping val="stacked"/>
        <c:varyColors val="0"/>
        <c:ser>
          <c:idx val="0"/>
          <c:order val="0"/>
          <c:tx>
            <c:strRef>
              <c:f>Tabelle1!$B$1</c:f>
              <c:strCache>
                <c:ptCount val="1"/>
                <c:pt idx="0">
                  <c:v>Taxonomiekonform: Fossiles Gas</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Tabelle1!$B$2:$B$4</c:f>
              <c:numCache>
                <c:formatCode>0%</c:formatCode>
                <c:ptCount val="3"/>
                <c:pt idx="0">
                  <c:v>0</c:v>
                </c:pt>
                <c:pt idx="1">
                  <c:v>0</c:v>
                </c:pt>
                <c:pt idx="2">
                  <c:v>0</c:v>
                </c:pt>
              </c:numCache>
            </c:numRef>
          </c:val>
          <c:extLst>
            <c:ext xmlns:c16="http://schemas.microsoft.com/office/drawing/2014/chart" uri="{C3380CC4-5D6E-409C-BE32-E72D297353CC}">
              <c16:uniqueId val="{00000000-20E6-4A9B-9251-AC8B1FE1BA7E}"/>
            </c:ext>
          </c:extLst>
        </c:ser>
        <c:ser>
          <c:idx val="1"/>
          <c:order val="1"/>
          <c:tx>
            <c:strRef>
              <c:f>Tabelle1!$C$1</c:f>
              <c:strCache>
                <c:ptCount val="1"/>
                <c:pt idx="0">
                  <c:v>Taxonomiekonform: Kernenergie</c:v>
                </c:pt>
              </c:strCache>
            </c:strRef>
          </c:tx>
          <c:spPr>
            <a:solidFill>
              <a:schemeClr val="bg1">
                <a:lumMod val="75000"/>
              </a:schemeClr>
            </a:solidFill>
            <a:ln>
              <a:noFill/>
            </a:ln>
            <a:effectLst/>
          </c:spPr>
          <c:invertIfNegative val="0"/>
          <c:dPt>
            <c:idx val="0"/>
            <c:invertIfNegative val="0"/>
            <c:bubble3D val="0"/>
            <c:spPr>
              <a:solidFill>
                <a:schemeClr val="bg1">
                  <a:lumMod val="75000"/>
                </a:schemeClr>
              </a:solidFill>
              <a:ln>
                <a:noFill/>
              </a:ln>
              <a:effectLst/>
            </c:spPr>
            <c:extLst>
              <c:ext xmlns:c16="http://schemas.microsoft.com/office/drawing/2014/chart" uri="{C3380CC4-5D6E-409C-BE32-E72D297353CC}">
                <c16:uniqueId val="{00000002-20E6-4A9B-9251-AC8B1FE1BA7E}"/>
              </c:ext>
            </c:extLst>
          </c:dPt>
          <c:dPt>
            <c:idx val="1"/>
            <c:invertIfNegative val="0"/>
            <c:bubble3D val="0"/>
            <c:spPr>
              <a:solidFill>
                <a:schemeClr val="bg1">
                  <a:lumMod val="75000"/>
                </a:schemeClr>
              </a:solidFill>
              <a:ln>
                <a:noFill/>
              </a:ln>
              <a:effectLst/>
            </c:spPr>
            <c:extLst>
              <c:ext xmlns:c16="http://schemas.microsoft.com/office/drawing/2014/chart" uri="{C3380CC4-5D6E-409C-BE32-E72D297353CC}">
                <c16:uniqueId val="{00000004-20E6-4A9B-9251-AC8B1FE1BA7E}"/>
              </c:ext>
            </c:extLst>
          </c:dPt>
          <c:dPt>
            <c:idx val="2"/>
            <c:invertIfNegative val="0"/>
            <c:bubble3D val="0"/>
            <c:spPr>
              <a:solidFill>
                <a:schemeClr val="bg1">
                  <a:lumMod val="75000"/>
                </a:schemeClr>
              </a:solidFill>
              <a:ln>
                <a:noFill/>
              </a:ln>
              <a:effectLst/>
            </c:spPr>
            <c:extLst>
              <c:ext xmlns:c16="http://schemas.microsoft.com/office/drawing/2014/chart" uri="{C3380CC4-5D6E-409C-BE32-E72D297353CC}">
                <c16:uniqueId val="{00000006-20E6-4A9B-9251-AC8B1FE1BA7E}"/>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Tabelle1!$A$2:$A$4</c:f>
              <c:strCache>
                <c:ptCount val="3"/>
                <c:pt idx="0">
                  <c:v>OpEx</c:v>
                </c:pt>
                <c:pt idx="1">
                  <c:v>CapEx</c:v>
                </c:pt>
                <c:pt idx="2">
                  <c:v>Umsatzerlöse</c:v>
                </c:pt>
              </c:strCache>
            </c:strRef>
          </c:cat>
          <c:val>
            <c:numRef>
              <c:f>Tabelle1!$C$2:$C$4</c:f>
              <c:numCache>
                <c:formatCode>0%</c:formatCode>
                <c:ptCount val="3"/>
                <c:pt idx="0">
                  <c:v>0</c:v>
                </c:pt>
                <c:pt idx="1">
                  <c:v>0</c:v>
                </c:pt>
                <c:pt idx="2">
                  <c:v>0</c:v>
                </c:pt>
              </c:numCache>
            </c:numRef>
          </c:val>
          <c:extLst>
            <c:ext xmlns:c16="http://schemas.microsoft.com/office/drawing/2014/chart" uri="{C3380CC4-5D6E-409C-BE32-E72D297353CC}">
              <c16:uniqueId val="{00000007-20E6-4A9B-9251-AC8B1FE1BA7E}"/>
            </c:ext>
          </c:extLst>
        </c:ser>
        <c:ser>
          <c:idx val="2"/>
          <c:order val="2"/>
          <c:tx>
            <c:strRef>
              <c:f>Tabelle1!$D$1</c:f>
              <c:strCache>
                <c:ptCount val="1"/>
                <c:pt idx="0">
                  <c:v>Taxonomiekonform: (ohne fossiles Gas und Kernenergie</c:v>
                </c:pt>
              </c:strCache>
            </c:strRef>
          </c:tx>
          <c:spPr>
            <a:solidFill>
              <a:schemeClr val="accent3"/>
            </a:solidFill>
            <a:ln>
              <a:noFill/>
            </a:ln>
            <a:effectLst/>
          </c:spPr>
          <c:invertIfNegative val="0"/>
          <c:dLbls>
            <c:delete val="1"/>
          </c:dLbls>
          <c:cat>
            <c:strRef>
              <c:f>Tabelle1!$A$2:$A$4</c:f>
              <c:strCache>
                <c:ptCount val="3"/>
                <c:pt idx="0">
                  <c:v>OpEx</c:v>
                </c:pt>
                <c:pt idx="1">
                  <c:v>CapEx</c:v>
                </c:pt>
                <c:pt idx="2">
                  <c:v>Umsatzerlöse</c:v>
                </c:pt>
              </c:strCache>
            </c:strRef>
          </c:cat>
          <c:val>
            <c:numRef>
              <c:f>Tabelle1!$D$2:$D$4</c:f>
              <c:numCache>
                <c:formatCode>General</c:formatCode>
                <c:ptCount val="3"/>
                <c:pt idx="0">
                  <c:v>0</c:v>
                </c:pt>
                <c:pt idx="1">
                  <c:v>0</c:v>
                </c:pt>
                <c:pt idx="2">
                  <c:v>0</c:v>
                </c:pt>
              </c:numCache>
            </c:numRef>
          </c:val>
          <c:extLst>
            <c:ext xmlns:c16="http://schemas.microsoft.com/office/drawing/2014/chart" uri="{C3380CC4-5D6E-409C-BE32-E72D297353CC}">
              <c16:uniqueId val="{00000008-20E6-4A9B-9251-AC8B1FE1BA7E}"/>
            </c:ext>
          </c:extLst>
        </c:ser>
        <c:ser>
          <c:idx val="3"/>
          <c:order val="3"/>
          <c:tx>
            <c:strRef>
              <c:f>Tabelle1!$E$1</c:f>
              <c:strCache>
                <c:ptCount val="1"/>
                <c:pt idx="0">
                  <c:v>Nicht taxonomiekonform</c:v>
                </c:pt>
              </c:strCache>
            </c:strRef>
          </c:tx>
          <c:spPr>
            <a:solidFill>
              <a:schemeClr val="accent4"/>
            </a:solidFill>
            <a:ln>
              <a:noFill/>
            </a:ln>
            <a:effectLst/>
          </c:spPr>
          <c:invertIfNegative val="0"/>
          <c:dLbls>
            <c:delete val="1"/>
          </c:dLbls>
          <c:cat>
            <c:strRef>
              <c:f>Tabelle1!$A$2:$A$4</c:f>
              <c:strCache>
                <c:ptCount val="3"/>
                <c:pt idx="0">
                  <c:v>OpEx</c:v>
                </c:pt>
                <c:pt idx="1">
                  <c:v>CapEx</c:v>
                </c:pt>
                <c:pt idx="2">
                  <c:v>Umsatzerlöse</c:v>
                </c:pt>
              </c:strCache>
            </c:strRef>
          </c:cat>
          <c:val>
            <c:numRef>
              <c:f>Tabelle1!$E$2:$E$4</c:f>
              <c:numCache>
                <c:formatCode>General</c:formatCode>
                <c:ptCount val="3"/>
                <c:pt idx="0">
                  <c:v>100</c:v>
                </c:pt>
                <c:pt idx="1">
                  <c:v>100</c:v>
                </c:pt>
                <c:pt idx="2">
                  <c:v>100</c:v>
                </c:pt>
              </c:numCache>
            </c:numRef>
          </c:val>
          <c:extLst>
            <c:ext xmlns:c16="http://schemas.microsoft.com/office/drawing/2014/chart" uri="{C3380CC4-5D6E-409C-BE32-E72D297353CC}">
              <c16:uniqueId val="{00000009-20E6-4A9B-9251-AC8B1FE1BA7E}"/>
            </c:ext>
          </c:extLst>
        </c:ser>
        <c:dLbls>
          <c:dLblPos val="ctr"/>
          <c:showLegendKey val="0"/>
          <c:showVal val="1"/>
          <c:showCatName val="0"/>
          <c:showSerName val="0"/>
          <c:showPercent val="0"/>
          <c:showBubbleSize val="0"/>
        </c:dLbls>
        <c:gapWidth val="150"/>
        <c:overlap val="100"/>
        <c:axId val="802621632"/>
        <c:axId val="802620456"/>
      </c:barChart>
      <c:catAx>
        <c:axId val="802621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0456"/>
        <c:crosses val="autoZero"/>
        <c:auto val="1"/>
        <c:lblAlgn val="ctr"/>
        <c:lblOffset val="100"/>
        <c:noMultiLvlLbl val="0"/>
      </c:catAx>
      <c:valAx>
        <c:axId val="80262045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crossAx val="802621632"/>
        <c:crosses val="autoZero"/>
        <c:crossBetween val="between"/>
        <c:dispUnits>
          <c:builtInUnit val="hundreds"/>
        </c:dispUnits>
      </c:valAx>
      <c:spPr>
        <a:noFill/>
        <a:ln>
          <a:noFill/>
        </a:ln>
        <a:effectLst/>
      </c:spPr>
    </c:plotArea>
    <c:legend>
      <c:legendPos val="b"/>
      <c:legendEntry>
        <c:idx val="1"/>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de-DE"/>
          </a:p>
        </c:txPr>
      </c:legendEntry>
      <c:layout>
        <c:manualLayout>
          <c:xMode val="edge"/>
          <c:yMode val="edge"/>
          <c:x val="5.4488658366288419E-2"/>
          <c:y val="0.51977939906925208"/>
          <c:w val="0.88506143140453197"/>
          <c:h val="0.4241267712520126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aseline="0"/>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D450F7-96BE-469A-AE0E-1317BAD05FC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de-DE"/>
        </a:p>
      </dgm:t>
    </dgm:pt>
    <dgm:pt modelId="{0974EE2D-B3A4-46BD-A793-809767735644}">
      <dgm:prSet phldrT="[Text]" custT="1"/>
      <dgm:spPr>
        <a:solidFill>
          <a:schemeClr val="bg2"/>
        </a:solidFill>
      </dgm:spPr>
      <dgm:t>
        <a:bodyPr/>
        <a:lstStyle/>
        <a:p>
          <a:r>
            <a:rPr lang="de-DE" sz="800">
              <a:solidFill>
                <a:sysClr val="windowText" lastClr="000000"/>
              </a:solidFill>
            </a:rPr>
            <a:t>100%</a:t>
          </a:r>
        </a:p>
        <a:p>
          <a:r>
            <a:rPr lang="de-DE" sz="800">
              <a:solidFill>
                <a:sysClr val="windowText" lastClr="000000"/>
              </a:solidFill>
            </a:rPr>
            <a:t>Investitionen</a:t>
          </a:r>
        </a:p>
      </dgm:t>
    </dgm:pt>
    <dgm:pt modelId="{E0C5F324-B003-4E0F-880D-8B3166A539BF}" type="parTrans" cxnId="{44C1A37F-6754-4EFB-AE9A-BF215C4766B7}">
      <dgm:prSet/>
      <dgm:spPr/>
      <dgm:t>
        <a:bodyPr/>
        <a:lstStyle/>
        <a:p>
          <a:endParaRPr lang="de-DE"/>
        </a:p>
      </dgm:t>
    </dgm:pt>
    <dgm:pt modelId="{F5CDA5C1-8ADF-4C57-B6B0-6826FD410725}" type="sibTrans" cxnId="{44C1A37F-6754-4EFB-AE9A-BF215C4766B7}">
      <dgm:prSet/>
      <dgm:spPr/>
      <dgm:t>
        <a:bodyPr/>
        <a:lstStyle/>
        <a:p>
          <a:endParaRPr lang="de-DE"/>
        </a:p>
      </dgm:t>
    </dgm:pt>
    <dgm:pt modelId="{2D64871D-9643-4869-91AA-47E88B481563}" type="asst">
      <dgm:prSet phldrT="[Text]" custT="1"/>
      <dgm:spPr>
        <a:solidFill>
          <a:schemeClr val="bg2"/>
        </a:solidFill>
      </dgm:spPr>
      <dgm:t>
        <a:bodyPr/>
        <a:lstStyle/>
        <a:p>
          <a:r>
            <a:rPr lang="de-DE" sz="800">
              <a:solidFill>
                <a:sysClr val="windowText" lastClr="000000"/>
              </a:solidFill>
            </a:rPr>
            <a:t>7,63%</a:t>
          </a:r>
        </a:p>
        <a:p>
          <a:r>
            <a:rPr lang="de-DE" sz="800">
              <a:solidFill>
                <a:sysClr val="windowText" lastClr="000000"/>
              </a:solidFill>
            </a:rPr>
            <a:t>#2 Andere</a:t>
          </a:r>
        </a:p>
      </dgm:t>
    </dgm:pt>
    <dgm:pt modelId="{C4BC969E-8037-4EFA-82E3-6673149D5EDA}" type="parTrans" cxnId="{B5A84138-B0D8-44B0-A4FB-D0DDB260702C}">
      <dgm:prSet/>
      <dgm:spPr/>
      <dgm:t>
        <a:bodyPr/>
        <a:lstStyle/>
        <a:p>
          <a:endParaRPr lang="de-DE" sz="2800"/>
        </a:p>
      </dgm:t>
    </dgm:pt>
    <dgm:pt modelId="{3DA872A6-026C-4797-A733-6C62B720850E}" type="sibTrans" cxnId="{B5A84138-B0D8-44B0-A4FB-D0DDB260702C}">
      <dgm:prSet/>
      <dgm:spPr/>
      <dgm:t>
        <a:bodyPr/>
        <a:lstStyle/>
        <a:p>
          <a:endParaRPr lang="de-DE"/>
        </a:p>
      </dgm:t>
    </dgm:pt>
    <dgm:pt modelId="{CA6176D4-45D3-4A1C-8AE3-93618339B4AE}">
      <dgm:prSet phldrT="[Text]" custT="1"/>
      <dgm:spPr>
        <a:solidFill>
          <a:srgbClr val="00B050"/>
        </a:solidFill>
      </dgm:spPr>
      <dgm:t>
        <a:bodyPr/>
        <a:lstStyle/>
        <a:p>
          <a:r>
            <a:rPr lang="de-DE" sz="800">
              <a:solidFill>
                <a:sysClr val="windowText" lastClr="000000"/>
              </a:solidFill>
            </a:rPr>
            <a:t>92,37%</a:t>
          </a:r>
        </a:p>
        <a:p>
          <a:r>
            <a:rPr lang="de-DE" sz="800">
              <a:solidFill>
                <a:sysClr val="windowText" lastClr="000000"/>
              </a:solidFill>
            </a:rPr>
            <a:t>#1 Ausgerichtet auf ökologische /soziale Merkmale</a:t>
          </a:r>
          <a:endParaRPr lang="de-DE" sz="800">
            <a:solidFill>
              <a:schemeClr val="tx1"/>
            </a:solidFill>
          </a:endParaRPr>
        </a:p>
      </dgm:t>
    </dgm:pt>
    <dgm:pt modelId="{692566C1-7B97-4BC4-843A-19F41CF3BEB4}" type="parTrans" cxnId="{78013072-1636-4B1F-AFB8-84EBA5BFFB7C}">
      <dgm:prSet/>
      <dgm:spPr/>
      <dgm:t>
        <a:bodyPr/>
        <a:lstStyle/>
        <a:p>
          <a:endParaRPr lang="de-DE" sz="2800"/>
        </a:p>
      </dgm:t>
    </dgm:pt>
    <dgm:pt modelId="{B3B2B651-5191-4A34-8FDD-2F319725B55F}" type="sibTrans" cxnId="{78013072-1636-4B1F-AFB8-84EBA5BFFB7C}">
      <dgm:prSet/>
      <dgm:spPr/>
      <dgm:t>
        <a:bodyPr/>
        <a:lstStyle/>
        <a:p>
          <a:endParaRPr lang="de-DE"/>
        </a:p>
      </dgm:t>
    </dgm:pt>
    <dgm:pt modelId="{2AFA70B2-2A9D-4E50-87C3-14F8FEFF6ECA}">
      <dgm:prSet phldrT="[Text]" custT="1"/>
      <dgm:spPr>
        <a:solidFill>
          <a:schemeClr val="accent6">
            <a:lumMod val="75000"/>
          </a:schemeClr>
        </a:solidFill>
      </dgm:spPr>
      <dgm:t>
        <a:bodyPr/>
        <a:lstStyle/>
        <a:p>
          <a:r>
            <a:rPr lang="de-DE" sz="800">
              <a:solidFill>
                <a:sysClr val="windowText" lastClr="000000"/>
              </a:solidFill>
            </a:rPr>
            <a:t>45,33%</a:t>
          </a:r>
        </a:p>
        <a:p>
          <a:r>
            <a:rPr lang="de-DE" sz="800">
              <a:solidFill>
                <a:sysClr val="windowText" lastClr="000000"/>
              </a:solidFill>
            </a:rPr>
            <a:t>#1A Nachhaltig</a:t>
          </a:r>
        </a:p>
      </dgm:t>
    </dgm:pt>
    <dgm:pt modelId="{44174BFC-BA0A-4AE0-A10F-AF9FE0FE280D}" type="parTrans" cxnId="{A178A6E0-13C6-4543-A0FA-9A3089B63F9E}">
      <dgm:prSet/>
      <dgm:spPr/>
      <dgm:t>
        <a:bodyPr/>
        <a:lstStyle/>
        <a:p>
          <a:endParaRPr lang="de-DE" sz="2800"/>
        </a:p>
      </dgm:t>
    </dgm:pt>
    <dgm:pt modelId="{D2255AC3-DA9D-4A04-A363-88FDB84932B3}" type="sibTrans" cxnId="{A178A6E0-13C6-4543-A0FA-9A3089B63F9E}">
      <dgm:prSet/>
      <dgm:spPr/>
      <dgm:t>
        <a:bodyPr/>
        <a:lstStyle/>
        <a:p>
          <a:endParaRPr lang="de-DE"/>
        </a:p>
      </dgm:t>
    </dgm:pt>
    <dgm:pt modelId="{839EAC2C-E703-4C59-90FD-B16416FE1D11}">
      <dgm:prSet phldrT="[Text]" custT="1"/>
      <dgm:spPr>
        <a:solidFill>
          <a:schemeClr val="accent6">
            <a:lumMod val="40000"/>
            <a:lumOff val="60000"/>
          </a:schemeClr>
        </a:solidFill>
      </dgm:spPr>
      <dgm:t>
        <a:bodyPr/>
        <a:lstStyle/>
        <a:p>
          <a:r>
            <a:rPr lang="de-DE" sz="800">
              <a:solidFill>
                <a:sysClr val="windowText" lastClr="000000"/>
              </a:solidFill>
            </a:rPr>
            <a:t>47,04%</a:t>
          </a:r>
        </a:p>
        <a:p>
          <a:r>
            <a:rPr lang="de-DE" sz="800">
              <a:solidFill>
                <a:sysClr val="windowText" lastClr="000000"/>
              </a:solidFill>
            </a:rPr>
            <a:t>#1B Andere ökologische /soziale Merkmale</a:t>
          </a:r>
        </a:p>
      </dgm:t>
    </dgm:pt>
    <dgm:pt modelId="{62CFBC28-E511-4DA6-A25C-EA65826A0F48}" type="parTrans" cxnId="{A8F88D56-CBEB-476E-8009-ABAA3FAF0894}">
      <dgm:prSet/>
      <dgm:spPr/>
      <dgm:t>
        <a:bodyPr/>
        <a:lstStyle/>
        <a:p>
          <a:endParaRPr lang="de-DE" sz="2800"/>
        </a:p>
      </dgm:t>
    </dgm:pt>
    <dgm:pt modelId="{9BCDDB7F-A165-4B32-91E1-48347F54F8DC}" type="sibTrans" cxnId="{A8F88D56-CBEB-476E-8009-ABAA3FAF0894}">
      <dgm:prSet/>
      <dgm:spPr/>
      <dgm:t>
        <a:bodyPr/>
        <a:lstStyle/>
        <a:p>
          <a:endParaRPr lang="de-DE"/>
        </a:p>
      </dgm:t>
    </dgm:pt>
    <dgm:pt modelId="{AD3623D6-BFCB-460A-B2D6-70D066894018}">
      <dgm:prSet phldrT="[Text]" custT="1"/>
      <dgm:spPr>
        <a:solidFill>
          <a:srgbClr val="00B050"/>
        </a:solidFill>
      </dgm:spPr>
      <dgm:t>
        <a:bodyPr/>
        <a:lstStyle/>
        <a:p>
          <a:r>
            <a:rPr lang="de-DE" sz="800">
              <a:solidFill>
                <a:sysClr val="windowText" lastClr="000000"/>
              </a:solidFill>
            </a:rPr>
            <a:t>Andere ökologische</a:t>
          </a:r>
        </a:p>
      </dgm:t>
    </dgm:pt>
    <dgm:pt modelId="{F875AD80-620F-4C0A-8509-AB4A520ACC46}" type="parTrans" cxnId="{55237E15-B176-49F1-847F-06BF2C365EA9}">
      <dgm:prSet/>
      <dgm:spPr/>
      <dgm:t>
        <a:bodyPr/>
        <a:lstStyle/>
        <a:p>
          <a:endParaRPr lang="de-DE" sz="2800"/>
        </a:p>
      </dgm:t>
    </dgm:pt>
    <dgm:pt modelId="{C33BF305-0D71-496C-BA9C-33F38B8B0E59}" type="sibTrans" cxnId="{55237E15-B176-49F1-847F-06BF2C365EA9}">
      <dgm:prSet/>
      <dgm:spPr/>
      <dgm:t>
        <a:bodyPr/>
        <a:lstStyle/>
        <a:p>
          <a:endParaRPr lang="de-DE"/>
        </a:p>
      </dgm:t>
    </dgm:pt>
    <dgm:pt modelId="{28CBE59E-2816-41FA-9C07-2ED0BD01FE54}">
      <dgm:prSet phldrT="[Text]" custT="1"/>
      <dgm:spPr>
        <a:solidFill>
          <a:srgbClr val="5B9BD5"/>
        </a:solidFill>
      </dgm:spPr>
      <dgm:t>
        <a:bodyPr/>
        <a:lstStyle/>
        <a:p>
          <a:r>
            <a:rPr lang="de-DE" sz="800">
              <a:solidFill>
                <a:sysClr val="windowText" lastClr="000000"/>
              </a:solidFill>
            </a:rPr>
            <a:t>Soziale</a:t>
          </a:r>
        </a:p>
      </dgm:t>
    </dgm:pt>
    <dgm:pt modelId="{133EB9F6-DAF0-4F0C-99B3-F8CCB4C0DBDA}" type="parTrans" cxnId="{F24E5E7A-5661-4BC3-B790-CAE1204EB30F}">
      <dgm:prSet/>
      <dgm:spPr/>
      <dgm:t>
        <a:bodyPr/>
        <a:lstStyle/>
        <a:p>
          <a:endParaRPr lang="de-DE" sz="2800"/>
        </a:p>
      </dgm:t>
    </dgm:pt>
    <dgm:pt modelId="{80744F26-BB11-49E7-B65F-87B219463C86}" type="sibTrans" cxnId="{F24E5E7A-5661-4BC3-B790-CAE1204EB30F}">
      <dgm:prSet/>
      <dgm:spPr/>
      <dgm:t>
        <a:bodyPr/>
        <a:lstStyle/>
        <a:p>
          <a:endParaRPr lang="de-DE"/>
        </a:p>
      </dgm:t>
    </dgm:pt>
    <dgm:pt modelId="{4BE31134-E14D-4E07-A2F1-36142DCEA80A}" type="pres">
      <dgm:prSet presAssocID="{B5D450F7-96BE-469A-AE0E-1317BAD05FC4}" presName="hierChild1" presStyleCnt="0">
        <dgm:presLayoutVars>
          <dgm:orgChart val="1"/>
          <dgm:chPref val="1"/>
          <dgm:dir/>
          <dgm:animOne val="branch"/>
          <dgm:animLvl val="lvl"/>
          <dgm:resizeHandles/>
        </dgm:presLayoutVars>
      </dgm:prSet>
      <dgm:spPr/>
    </dgm:pt>
    <dgm:pt modelId="{7038A946-BFA4-4B61-AEF8-C50F7BA4994A}" type="pres">
      <dgm:prSet presAssocID="{0974EE2D-B3A4-46BD-A793-809767735644}" presName="hierRoot1" presStyleCnt="0">
        <dgm:presLayoutVars>
          <dgm:hierBranch val="init"/>
        </dgm:presLayoutVars>
      </dgm:prSet>
      <dgm:spPr/>
    </dgm:pt>
    <dgm:pt modelId="{AE6CCA9B-1007-4A09-AEB4-3A77324B8312}" type="pres">
      <dgm:prSet presAssocID="{0974EE2D-B3A4-46BD-A793-809767735644}" presName="rootComposite1" presStyleCnt="0"/>
      <dgm:spPr/>
    </dgm:pt>
    <dgm:pt modelId="{48909BCF-3FD5-4487-8E0B-7FAFEF631641}" type="pres">
      <dgm:prSet presAssocID="{0974EE2D-B3A4-46BD-A793-809767735644}" presName="rootText1" presStyleLbl="node0" presStyleIdx="0" presStyleCnt="1" custScaleX="115310" custScaleY="130864" custLinFactNeighborX="-496" custLinFactNeighborY="72290">
        <dgm:presLayoutVars>
          <dgm:chPref val="3"/>
        </dgm:presLayoutVars>
      </dgm:prSet>
      <dgm:spPr/>
    </dgm:pt>
    <dgm:pt modelId="{4F802054-7A2B-4A43-9C7B-0A415E167471}" type="pres">
      <dgm:prSet presAssocID="{0974EE2D-B3A4-46BD-A793-809767735644}" presName="rootConnector1" presStyleLbl="node1" presStyleIdx="0" presStyleCnt="0"/>
      <dgm:spPr/>
    </dgm:pt>
    <dgm:pt modelId="{65A6909A-D8E3-46D9-8CFA-E95F2717A5DE}" type="pres">
      <dgm:prSet presAssocID="{0974EE2D-B3A4-46BD-A793-809767735644}" presName="hierChild2" presStyleCnt="0"/>
      <dgm:spPr/>
    </dgm:pt>
    <dgm:pt modelId="{BB0A776C-DDD9-4D71-9584-833033B1C1CF}" type="pres">
      <dgm:prSet presAssocID="{692566C1-7B97-4BC4-843A-19F41CF3BEB4}" presName="Name64" presStyleLbl="parChTrans1D2" presStyleIdx="0" presStyleCnt="2"/>
      <dgm:spPr/>
    </dgm:pt>
    <dgm:pt modelId="{60F1991A-3076-4F95-8883-BD7B0EF8AF63}" type="pres">
      <dgm:prSet presAssocID="{CA6176D4-45D3-4A1C-8AE3-93618339B4AE}" presName="hierRoot2" presStyleCnt="0">
        <dgm:presLayoutVars>
          <dgm:hierBranch val="init"/>
        </dgm:presLayoutVars>
      </dgm:prSet>
      <dgm:spPr/>
    </dgm:pt>
    <dgm:pt modelId="{1200E07E-F103-405E-9327-1A5FEA2108F0}" type="pres">
      <dgm:prSet presAssocID="{CA6176D4-45D3-4A1C-8AE3-93618339B4AE}" presName="rootComposite" presStyleCnt="0"/>
      <dgm:spPr/>
    </dgm:pt>
    <dgm:pt modelId="{B96DA910-488E-4559-95DC-45877E2D8E31}" type="pres">
      <dgm:prSet presAssocID="{CA6176D4-45D3-4A1C-8AE3-93618339B4AE}" presName="rootText" presStyleLbl="node2" presStyleIdx="0" presStyleCnt="1" custScaleX="121792" custScaleY="218110" custLinFactX="-37558" custLinFactNeighborX="-100000" custLinFactNeighborY="-69308">
        <dgm:presLayoutVars>
          <dgm:chPref val="3"/>
        </dgm:presLayoutVars>
      </dgm:prSet>
      <dgm:spPr/>
    </dgm:pt>
    <dgm:pt modelId="{3097C525-CCF1-4FC9-A832-CFE4135846CA}" type="pres">
      <dgm:prSet presAssocID="{CA6176D4-45D3-4A1C-8AE3-93618339B4AE}" presName="rootConnector" presStyleLbl="node2" presStyleIdx="0" presStyleCnt="1"/>
      <dgm:spPr/>
    </dgm:pt>
    <dgm:pt modelId="{0AE19814-39CC-4172-84D9-9EB6D41BBACA}" type="pres">
      <dgm:prSet presAssocID="{CA6176D4-45D3-4A1C-8AE3-93618339B4AE}" presName="hierChild4" presStyleCnt="0"/>
      <dgm:spPr/>
    </dgm:pt>
    <dgm:pt modelId="{6FAA766D-1069-48D5-8886-73774321701F}" type="pres">
      <dgm:prSet presAssocID="{44174BFC-BA0A-4AE0-A10F-AF9FE0FE280D}" presName="Name64" presStyleLbl="parChTrans1D3" presStyleIdx="0" presStyleCnt="2"/>
      <dgm:spPr/>
    </dgm:pt>
    <dgm:pt modelId="{22571F20-CC9D-4CC8-A86E-DE124A416143}" type="pres">
      <dgm:prSet presAssocID="{2AFA70B2-2A9D-4E50-87C3-14F8FEFF6ECA}" presName="hierRoot2" presStyleCnt="0">
        <dgm:presLayoutVars>
          <dgm:hierBranch val="init"/>
        </dgm:presLayoutVars>
      </dgm:prSet>
      <dgm:spPr/>
    </dgm:pt>
    <dgm:pt modelId="{C576BC34-03B1-4D51-A2A5-236A440B8870}" type="pres">
      <dgm:prSet presAssocID="{2AFA70B2-2A9D-4E50-87C3-14F8FEFF6ECA}" presName="rootComposite" presStyleCnt="0"/>
      <dgm:spPr/>
    </dgm:pt>
    <dgm:pt modelId="{4051204D-ED08-4A63-9FDF-74EF78AC995C}" type="pres">
      <dgm:prSet presAssocID="{2AFA70B2-2A9D-4E50-87C3-14F8FEFF6ECA}" presName="rootText" presStyleLbl="node3" presStyleIdx="0" presStyleCnt="2" custScaleY="160514" custLinFactX="-34205" custLinFactNeighborX="-100000" custLinFactNeighborY="-75376">
        <dgm:presLayoutVars>
          <dgm:chPref val="3"/>
        </dgm:presLayoutVars>
      </dgm:prSet>
      <dgm:spPr/>
    </dgm:pt>
    <dgm:pt modelId="{09115F58-054C-40F7-822A-8F7353C1F9FA}" type="pres">
      <dgm:prSet presAssocID="{2AFA70B2-2A9D-4E50-87C3-14F8FEFF6ECA}" presName="rootConnector" presStyleLbl="node3" presStyleIdx="0" presStyleCnt="2"/>
      <dgm:spPr/>
    </dgm:pt>
    <dgm:pt modelId="{BCC1C4EE-E6CD-44EA-BB4C-76E46D18A0AE}" type="pres">
      <dgm:prSet presAssocID="{2AFA70B2-2A9D-4E50-87C3-14F8FEFF6ECA}" presName="hierChild4" presStyleCnt="0"/>
      <dgm:spPr/>
    </dgm:pt>
    <dgm:pt modelId="{5FC5C02D-3334-4CEC-806A-2B1FA05FB25A}" type="pres">
      <dgm:prSet presAssocID="{F875AD80-620F-4C0A-8509-AB4A520ACC46}" presName="Name64" presStyleLbl="parChTrans1D4" presStyleIdx="0" presStyleCnt="2"/>
      <dgm:spPr/>
    </dgm:pt>
    <dgm:pt modelId="{5E438E1B-7E35-43BE-9152-6D619D1DF467}" type="pres">
      <dgm:prSet presAssocID="{AD3623D6-BFCB-460A-B2D6-70D066894018}" presName="hierRoot2" presStyleCnt="0">
        <dgm:presLayoutVars>
          <dgm:hierBranch val="init"/>
        </dgm:presLayoutVars>
      </dgm:prSet>
      <dgm:spPr/>
    </dgm:pt>
    <dgm:pt modelId="{4EDF4004-23D9-43D6-89E8-F1CDB9F3EC95}" type="pres">
      <dgm:prSet presAssocID="{AD3623D6-BFCB-460A-B2D6-70D066894018}" presName="rootComposite" presStyleCnt="0"/>
      <dgm:spPr/>
    </dgm:pt>
    <dgm:pt modelId="{4AF76DF4-F471-4F75-8996-1FE55A25079E}" type="pres">
      <dgm:prSet presAssocID="{AD3623D6-BFCB-460A-B2D6-70D066894018}" presName="rootText" presStyleLbl="node4" presStyleIdx="0" presStyleCnt="2" custScaleY="164114" custLinFactX="-21435" custLinFactNeighborX="-100000" custLinFactNeighborY="-82474">
        <dgm:presLayoutVars>
          <dgm:chPref val="3"/>
        </dgm:presLayoutVars>
      </dgm:prSet>
      <dgm:spPr/>
    </dgm:pt>
    <dgm:pt modelId="{EC41247D-D21D-4325-A9BD-88EB4BF943E9}" type="pres">
      <dgm:prSet presAssocID="{AD3623D6-BFCB-460A-B2D6-70D066894018}" presName="rootConnector" presStyleLbl="node4" presStyleIdx="0" presStyleCnt="2"/>
      <dgm:spPr/>
    </dgm:pt>
    <dgm:pt modelId="{3F7560E0-2B77-4F57-9005-16C894C48081}" type="pres">
      <dgm:prSet presAssocID="{AD3623D6-BFCB-460A-B2D6-70D066894018}" presName="hierChild4" presStyleCnt="0"/>
      <dgm:spPr/>
    </dgm:pt>
    <dgm:pt modelId="{52A80306-BD5F-48F3-AC92-7198B7BCC437}" type="pres">
      <dgm:prSet presAssocID="{AD3623D6-BFCB-460A-B2D6-70D066894018}" presName="hierChild5" presStyleCnt="0"/>
      <dgm:spPr/>
    </dgm:pt>
    <dgm:pt modelId="{3E61BD05-0697-468B-96A6-E3EC9BDD464B}" type="pres">
      <dgm:prSet presAssocID="{133EB9F6-DAF0-4F0C-99B3-F8CCB4C0DBDA}" presName="Name64" presStyleLbl="parChTrans1D4" presStyleIdx="1" presStyleCnt="2"/>
      <dgm:spPr/>
    </dgm:pt>
    <dgm:pt modelId="{ACBE97E2-DFE5-4875-89F0-51A9E265A77B}" type="pres">
      <dgm:prSet presAssocID="{28CBE59E-2816-41FA-9C07-2ED0BD01FE54}" presName="hierRoot2" presStyleCnt="0">
        <dgm:presLayoutVars>
          <dgm:hierBranch val="init"/>
        </dgm:presLayoutVars>
      </dgm:prSet>
      <dgm:spPr/>
    </dgm:pt>
    <dgm:pt modelId="{A429165A-2D05-4E6B-BE8E-686C9A86C874}" type="pres">
      <dgm:prSet presAssocID="{28CBE59E-2816-41FA-9C07-2ED0BD01FE54}" presName="rootComposite" presStyleCnt="0"/>
      <dgm:spPr/>
    </dgm:pt>
    <dgm:pt modelId="{624B3037-733F-4C78-A974-89E652B96481}" type="pres">
      <dgm:prSet presAssocID="{28CBE59E-2816-41FA-9C07-2ED0BD01FE54}" presName="rootText" presStyleLbl="node4" presStyleIdx="1" presStyleCnt="2" custScaleY="161294" custLinFactX="-21831" custLinFactNeighborX="-100000" custLinFactNeighborY="-98634">
        <dgm:presLayoutVars>
          <dgm:chPref val="3"/>
        </dgm:presLayoutVars>
      </dgm:prSet>
      <dgm:spPr/>
    </dgm:pt>
    <dgm:pt modelId="{AC024075-5915-48A3-9FF0-B90013FEEBE9}" type="pres">
      <dgm:prSet presAssocID="{28CBE59E-2816-41FA-9C07-2ED0BD01FE54}" presName="rootConnector" presStyleLbl="node4" presStyleIdx="1" presStyleCnt="2"/>
      <dgm:spPr/>
    </dgm:pt>
    <dgm:pt modelId="{86F72401-3483-407E-A645-07383B59D3FE}" type="pres">
      <dgm:prSet presAssocID="{28CBE59E-2816-41FA-9C07-2ED0BD01FE54}" presName="hierChild4" presStyleCnt="0"/>
      <dgm:spPr/>
    </dgm:pt>
    <dgm:pt modelId="{471B26A5-C910-4517-B956-25A0DDDDD9D3}" type="pres">
      <dgm:prSet presAssocID="{28CBE59E-2816-41FA-9C07-2ED0BD01FE54}" presName="hierChild5" presStyleCnt="0"/>
      <dgm:spPr/>
    </dgm:pt>
    <dgm:pt modelId="{7AE85422-2E33-4A1B-A117-3DDFC5E827F9}" type="pres">
      <dgm:prSet presAssocID="{2AFA70B2-2A9D-4E50-87C3-14F8FEFF6ECA}" presName="hierChild5" presStyleCnt="0"/>
      <dgm:spPr/>
    </dgm:pt>
    <dgm:pt modelId="{2EDAED41-7ABE-4235-834A-7D01F375B078}" type="pres">
      <dgm:prSet presAssocID="{62CFBC28-E511-4DA6-A25C-EA65826A0F48}" presName="Name64" presStyleLbl="parChTrans1D3" presStyleIdx="1" presStyleCnt="2"/>
      <dgm:spPr/>
    </dgm:pt>
    <dgm:pt modelId="{4F1720B1-9AF7-4E01-A4A2-AC816D05FA56}" type="pres">
      <dgm:prSet presAssocID="{839EAC2C-E703-4C59-90FD-B16416FE1D11}" presName="hierRoot2" presStyleCnt="0">
        <dgm:presLayoutVars>
          <dgm:hierBranch val="init"/>
        </dgm:presLayoutVars>
      </dgm:prSet>
      <dgm:spPr/>
    </dgm:pt>
    <dgm:pt modelId="{0261E01A-AE2C-4FEB-9FE5-457725AEB2A0}" type="pres">
      <dgm:prSet presAssocID="{839EAC2C-E703-4C59-90FD-B16416FE1D11}" presName="rootComposite" presStyleCnt="0"/>
      <dgm:spPr/>
    </dgm:pt>
    <dgm:pt modelId="{CB3B7B78-62E2-44F4-8E5B-105990A35E6C}" type="pres">
      <dgm:prSet presAssocID="{839EAC2C-E703-4C59-90FD-B16416FE1D11}" presName="rootText" presStyleLbl="node3" presStyleIdx="1" presStyleCnt="2" custScaleY="239939" custLinFactX="-34239" custLinFactNeighborX="-100000" custLinFactNeighborY="-69340">
        <dgm:presLayoutVars>
          <dgm:chPref val="3"/>
        </dgm:presLayoutVars>
      </dgm:prSet>
      <dgm:spPr/>
    </dgm:pt>
    <dgm:pt modelId="{A45C841F-B4B2-475F-A97D-38867151C952}" type="pres">
      <dgm:prSet presAssocID="{839EAC2C-E703-4C59-90FD-B16416FE1D11}" presName="rootConnector" presStyleLbl="node3" presStyleIdx="1" presStyleCnt="2"/>
      <dgm:spPr/>
    </dgm:pt>
    <dgm:pt modelId="{AA2C6FF7-EDDC-4DE7-87BB-F5E33D327509}" type="pres">
      <dgm:prSet presAssocID="{839EAC2C-E703-4C59-90FD-B16416FE1D11}" presName="hierChild4" presStyleCnt="0"/>
      <dgm:spPr/>
    </dgm:pt>
    <dgm:pt modelId="{6B482B37-D4F8-4E92-B460-8514A99D93FE}" type="pres">
      <dgm:prSet presAssocID="{839EAC2C-E703-4C59-90FD-B16416FE1D11}" presName="hierChild5" presStyleCnt="0"/>
      <dgm:spPr/>
    </dgm:pt>
    <dgm:pt modelId="{D1160944-E589-4938-95F7-12D213444A00}" type="pres">
      <dgm:prSet presAssocID="{CA6176D4-45D3-4A1C-8AE3-93618339B4AE}" presName="hierChild5" presStyleCnt="0"/>
      <dgm:spPr/>
    </dgm:pt>
    <dgm:pt modelId="{8530B408-3781-47B5-8731-EC5CDCB15AD7}" type="pres">
      <dgm:prSet presAssocID="{0974EE2D-B3A4-46BD-A793-809767735644}" presName="hierChild3" presStyleCnt="0"/>
      <dgm:spPr/>
    </dgm:pt>
    <dgm:pt modelId="{133D5AD9-BA6B-4D04-A402-87B6B35497AF}" type="pres">
      <dgm:prSet presAssocID="{C4BC969E-8037-4EFA-82E3-6673149D5EDA}" presName="Name115" presStyleLbl="parChTrans1D2" presStyleIdx="1" presStyleCnt="2"/>
      <dgm:spPr/>
    </dgm:pt>
    <dgm:pt modelId="{04AABA26-0D77-4810-9F57-01B5240DA253}" type="pres">
      <dgm:prSet presAssocID="{2D64871D-9643-4869-91AA-47E88B481563}" presName="hierRoot3" presStyleCnt="0">
        <dgm:presLayoutVars>
          <dgm:hierBranch val="init"/>
        </dgm:presLayoutVars>
      </dgm:prSet>
      <dgm:spPr/>
    </dgm:pt>
    <dgm:pt modelId="{DA3F9F6F-FFA4-4D04-BF79-8932A4138B5D}" type="pres">
      <dgm:prSet presAssocID="{2D64871D-9643-4869-91AA-47E88B481563}" presName="rootComposite3" presStyleCnt="0"/>
      <dgm:spPr/>
    </dgm:pt>
    <dgm:pt modelId="{4F02C783-D65A-4FBA-9BEA-634E4DD4F013}" type="pres">
      <dgm:prSet presAssocID="{2D64871D-9643-4869-91AA-47E88B481563}" presName="rootText3" presStyleLbl="asst1" presStyleIdx="0" presStyleCnt="1" custScaleX="123090" custScaleY="149548" custLinFactY="100000" custLinFactNeighborX="-4196" custLinFactNeighborY="195688">
        <dgm:presLayoutVars>
          <dgm:chPref val="3"/>
        </dgm:presLayoutVars>
      </dgm:prSet>
      <dgm:spPr/>
    </dgm:pt>
    <dgm:pt modelId="{CF164EC6-15D6-41E5-B640-28118B0CFCA0}" type="pres">
      <dgm:prSet presAssocID="{2D64871D-9643-4869-91AA-47E88B481563}" presName="rootConnector3" presStyleLbl="asst1" presStyleIdx="0" presStyleCnt="1"/>
      <dgm:spPr/>
    </dgm:pt>
    <dgm:pt modelId="{9B2B0FE3-19EF-4DBF-ADB6-E8EA08EA6BC2}" type="pres">
      <dgm:prSet presAssocID="{2D64871D-9643-4869-91AA-47E88B481563}" presName="hierChild6" presStyleCnt="0"/>
      <dgm:spPr/>
    </dgm:pt>
    <dgm:pt modelId="{381EC944-138E-4D18-B9EE-A02DA265A030}" type="pres">
      <dgm:prSet presAssocID="{2D64871D-9643-4869-91AA-47E88B481563}" presName="hierChild7" presStyleCnt="0"/>
      <dgm:spPr/>
    </dgm:pt>
  </dgm:ptLst>
  <dgm:cxnLst>
    <dgm:cxn modelId="{55237E15-B176-49F1-847F-06BF2C365EA9}" srcId="{2AFA70B2-2A9D-4E50-87C3-14F8FEFF6ECA}" destId="{AD3623D6-BFCB-460A-B2D6-70D066894018}" srcOrd="0" destOrd="0" parTransId="{F875AD80-620F-4C0A-8509-AB4A520ACC46}" sibTransId="{C33BF305-0D71-496C-BA9C-33F38B8B0E59}"/>
    <dgm:cxn modelId="{FD32D322-67E7-4649-A04A-53C7DF2E17E5}" type="presOf" srcId="{0974EE2D-B3A4-46BD-A793-809767735644}" destId="{48909BCF-3FD5-4487-8E0B-7FAFEF631641}" srcOrd="0" destOrd="0" presId="urn:microsoft.com/office/officeart/2009/3/layout/HorizontalOrganizationChart"/>
    <dgm:cxn modelId="{A923412E-9E46-49A5-8EED-A305D59F1E00}" type="presOf" srcId="{F875AD80-620F-4C0A-8509-AB4A520ACC46}" destId="{5FC5C02D-3334-4CEC-806A-2B1FA05FB25A}" srcOrd="0" destOrd="0" presId="urn:microsoft.com/office/officeart/2009/3/layout/HorizontalOrganizationChart"/>
    <dgm:cxn modelId="{B5A84138-B0D8-44B0-A4FB-D0DDB260702C}" srcId="{0974EE2D-B3A4-46BD-A793-809767735644}" destId="{2D64871D-9643-4869-91AA-47E88B481563}" srcOrd="1" destOrd="0" parTransId="{C4BC969E-8037-4EFA-82E3-6673149D5EDA}" sibTransId="{3DA872A6-026C-4797-A733-6C62B720850E}"/>
    <dgm:cxn modelId="{9670143F-9C3D-4B3A-BADC-732F2BC9C852}" type="presOf" srcId="{44174BFC-BA0A-4AE0-A10F-AF9FE0FE280D}" destId="{6FAA766D-1069-48D5-8886-73774321701F}" srcOrd="0" destOrd="0" presId="urn:microsoft.com/office/officeart/2009/3/layout/HorizontalOrganizationChart"/>
    <dgm:cxn modelId="{9167975E-BE51-4821-8365-5FAF6E959DEB}" type="presOf" srcId="{2D64871D-9643-4869-91AA-47E88B481563}" destId="{4F02C783-D65A-4FBA-9BEA-634E4DD4F013}" srcOrd="0" destOrd="0" presId="urn:microsoft.com/office/officeart/2009/3/layout/HorizontalOrganizationChart"/>
    <dgm:cxn modelId="{3C21F662-8170-4745-928E-E6FB6B1DAC0D}" type="presOf" srcId="{C4BC969E-8037-4EFA-82E3-6673149D5EDA}" destId="{133D5AD9-BA6B-4D04-A402-87B6B35497AF}" srcOrd="0" destOrd="0" presId="urn:microsoft.com/office/officeart/2009/3/layout/HorizontalOrganizationChart"/>
    <dgm:cxn modelId="{577D3C45-9F5D-4C4C-8A65-27758B83F391}" type="presOf" srcId="{28CBE59E-2816-41FA-9C07-2ED0BD01FE54}" destId="{AC024075-5915-48A3-9FF0-B90013FEEBE9}" srcOrd="1" destOrd="0" presId="urn:microsoft.com/office/officeart/2009/3/layout/HorizontalOrganizationChart"/>
    <dgm:cxn modelId="{CE76FF66-3462-4531-B601-0FAA08120FAC}" type="presOf" srcId="{B5D450F7-96BE-469A-AE0E-1317BAD05FC4}" destId="{4BE31134-E14D-4E07-A2F1-36142DCEA80A}" srcOrd="0" destOrd="0" presId="urn:microsoft.com/office/officeart/2009/3/layout/HorizontalOrganizationChart"/>
    <dgm:cxn modelId="{17ABD549-BEC6-4F55-B29B-7D8161823934}" type="presOf" srcId="{839EAC2C-E703-4C59-90FD-B16416FE1D11}" destId="{CB3B7B78-62E2-44F4-8E5B-105990A35E6C}" srcOrd="0" destOrd="0" presId="urn:microsoft.com/office/officeart/2009/3/layout/HorizontalOrganizationChart"/>
    <dgm:cxn modelId="{78013072-1636-4B1F-AFB8-84EBA5BFFB7C}" srcId="{0974EE2D-B3A4-46BD-A793-809767735644}" destId="{CA6176D4-45D3-4A1C-8AE3-93618339B4AE}" srcOrd="0" destOrd="0" parTransId="{692566C1-7B97-4BC4-843A-19F41CF3BEB4}" sibTransId="{B3B2B651-5191-4A34-8FDD-2F319725B55F}"/>
    <dgm:cxn modelId="{A8F88D56-CBEB-476E-8009-ABAA3FAF0894}" srcId="{CA6176D4-45D3-4A1C-8AE3-93618339B4AE}" destId="{839EAC2C-E703-4C59-90FD-B16416FE1D11}" srcOrd="1" destOrd="0" parTransId="{62CFBC28-E511-4DA6-A25C-EA65826A0F48}" sibTransId="{9BCDDB7F-A165-4B32-91E1-48347F54F8DC}"/>
    <dgm:cxn modelId="{F24E5E7A-5661-4BC3-B790-CAE1204EB30F}" srcId="{2AFA70B2-2A9D-4E50-87C3-14F8FEFF6ECA}" destId="{28CBE59E-2816-41FA-9C07-2ED0BD01FE54}" srcOrd="1" destOrd="0" parTransId="{133EB9F6-DAF0-4F0C-99B3-F8CCB4C0DBDA}" sibTransId="{80744F26-BB11-49E7-B65F-87B219463C86}"/>
    <dgm:cxn modelId="{B2C5737E-2EE9-4BBD-B8E3-B7EA7BFF00C0}" type="presOf" srcId="{62CFBC28-E511-4DA6-A25C-EA65826A0F48}" destId="{2EDAED41-7ABE-4235-834A-7D01F375B078}" srcOrd="0" destOrd="0" presId="urn:microsoft.com/office/officeart/2009/3/layout/HorizontalOrganizationChart"/>
    <dgm:cxn modelId="{44C1A37F-6754-4EFB-AE9A-BF215C4766B7}" srcId="{B5D450F7-96BE-469A-AE0E-1317BAD05FC4}" destId="{0974EE2D-B3A4-46BD-A793-809767735644}" srcOrd="0" destOrd="0" parTransId="{E0C5F324-B003-4E0F-880D-8B3166A539BF}" sibTransId="{F5CDA5C1-8ADF-4C57-B6B0-6826FD410725}"/>
    <dgm:cxn modelId="{57A60080-B636-401B-B142-6CDB50092FD9}" type="presOf" srcId="{692566C1-7B97-4BC4-843A-19F41CF3BEB4}" destId="{BB0A776C-DDD9-4D71-9584-833033B1C1CF}" srcOrd="0" destOrd="0" presId="urn:microsoft.com/office/officeart/2009/3/layout/HorizontalOrganizationChart"/>
    <dgm:cxn modelId="{3A15ED81-0C11-47EB-BD5E-463AEE6C1DAE}" type="presOf" srcId="{0974EE2D-B3A4-46BD-A793-809767735644}" destId="{4F802054-7A2B-4A43-9C7B-0A415E167471}" srcOrd="1" destOrd="0" presId="urn:microsoft.com/office/officeart/2009/3/layout/HorizontalOrganizationChart"/>
    <dgm:cxn modelId="{D6993A82-2689-41D3-9A81-CFE685F74909}" type="presOf" srcId="{AD3623D6-BFCB-460A-B2D6-70D066894018}" destId="{EC41247D-D21D-4325-A9BD-88EB4BF943E9}" srcOrd="1" destOrd="0" presId="urn:microsoft.com/office/officeart/2009/3/layout/HorizontalOrganizationChart"/>
    <dgm:cxn modelId="{25208D8A-E019-4EC0-811B-63FA9AB47FFB}" type="presOf" srcId="{133EB9F6-DAF0-4F0C-99B3-F8CCB4C0DBDA}" destId="{3E61BD05-0697-468B-96A6-E3EC9BDD464B}" srcOrd="0" destOrd="0" presId="urn:microsoft.com/office/officeart/2009/3/layout/HorizontalOrganizationChart"/>
    <dgm:cxn modelId="{39067B9F-FA34-4D3E-AD23-0ABDFCCF9FAC}" type="presOf" srcId="{2AFA70B2-2A9D-4E50-87C3-14F8FEFF6ECA}" destId="{4051204D-ED08-4A63-9FDF-74EF78AC995C}" srcOrd="0" destOrd="0" presId="urn:microsoft.com/office/officeart/2009/3/layout/HorizontalOrganizationChart"/>
    <dgm:cxn modelId="{BA9DA9AD-098A-4423-89A2-4E2DA82731AC}" type="presOf" srcId="{CA6176D4-45D3-4A1C-8AE3-93618339B4AE}" destId="{B96DA910-488E-4559-95DC-45877E2D8E31}" srcOrd="0" destOrd="0" presId="urn:microsoft.com/office/officeart/2009/3/layout/HorizontalOrganizationChart"/>
    <dgm:cxn modelId="{CE3216CE-668F-4767-A394-D3B926FEB076}" type="presOf" srcId="{AD3623D6-BFCB-460A-B2D6-70D066894018}" destId="{4AF76DF4-F471-4F75-8996-1FE55A25079E}" srcOrd="0" destOrd="0" presId="urn:microsoft.com/office/officeart/2009/3/layout/HorizontalOrganizationChart"/>
    <dgm:cxn modelId="{27C759D4-76A6-49F2-9147-BAFC62EF4F34}" type="presOf" srcId="{2D64871D-9643-4869-91AA-47E88B481563}" destId="{CF164EC6-15D6-41E5-B640-28118B0CFCA0}" srcOrd="1" destOrd="0" presId="urn:microsoft.com/office/officeart/2009/3/layout/HorizontalOrganizationChart"/>
    <dgm:cxn modelId="{9843F7D5-37F4-49E0-8A29-06932BF2DBF0}" type="presOf" srcId="{2AFA70B2-2A9D-4E50-87C3-14F8FEFF6ECA}" destId="{09115F58-054C-40F7-822A-8F7353C1F9FA}" srcOrd="1" destOrd="0" presId="urn:microsoft.com/office/officeart/2009/3/layout/HorizontalOrganizationChart"/>
    <dgm:cxn modelId="{A178A6E0-13C6-4543-A0FA-9A3089B63F9E}" srcId="{CA6176D4-45D3-4A1C-8AE3-93618339B4AE}" destId="{2AFA70B2-2A9D-4E50-87C3-14F8FEFF6ECA}" srcOrd="0" destOrd="0" parTransId="{44174BFC-BA0A-4AE0-A10F-AF9FE0FE280D}" sibTransId="{D2255AC3-DA9D-4A04-A363-88FDB84932B3}"/>
    <dgm:cxn modelId="{99FF07E5-7008-483B-B9DA-341D13F8F301}" type="presOf" srcId="{CA6176D4-45D3-4A1C-8AE3-93618339B4AE}" destId="{3097C525-CCF1-4FC9-A832-CFE4135846CA}" srcOrd="1" destOrd="0" presId="urn:microsoft.com/office/officeart/2009/3/layout/HorizontalOrganizationChart"/>
    <dgm:cxn modelId="{43407CEE-C10C-4B32-B062-EB2FAB95252C}" type="presOf" srcId="{839EAC2C-E703-4C59-90FD-B16416FE1D11}" destId="{A45C841F-B4B2-475F-A97D-38867151C952}" srcOrd="1" destOrd="0" presId="urn:microsoft.com/office/officeart/2009/3/layout/HorizontalOrganizationChart"/>
    <dgm:cxn modelId="{1FE1EFF5-4C05-4106-89E5-69AB68FE67B1}" type="presOf" srcId="{28CBE59E-2816-41FA-9C07-2ED0BD01FE54}" destId="{624B3037-733F-4C78-A974-89E652B96481}" srcOrd="0" destOrd="0" presId="urn:microsoft.com/office/officeart/2009/3/layout/HorizontalOrganizationChart"/>
    <dgm:cxn modelId="{1D5C3528-FE82-4CF0-A2A8-CFCA64EFC238}" type="presParOf" srcId="{4BE31134-E14D-4E07-A2F1-36142DCEA80A}" destId="{7038A946-BFA4-4B61-AEF8-C50F7BA4994A}" srcOrd="0" destOrd="0" presId="urn:microsoft.com/office/officeart/2009/3/layout/HorizontalOrganizationChart"/>
    <dgm:cxn modelId="{2785AB88-E582-443A-8869-FA51D56CF62A}" type="presParOf" srcId="{7038A946-BFA4-4B61-AEF8-C50F7BA4994A}" destId="{AE6CCA9B-1007-4A09-AEB4-3A77324B8312}" srcOrd="0" destOrd="0" presId="urn:microsoft.com/office/officeart/2009/3/layout/HorizontalOrganizationChart"/>
    <dgm:cxn modelId="{EAD94F13-94FC-4DF5-A601-7EB33D02E73C}" type="presParOf" srcId="{AE6CCA9B-1007-4A09-AEB4-3A77324B8312}" destId="{48909BCF-3FD5-4487-8E0B-7FAFEF631641}" srcOrd="0" destOrd="0" presId="urn:microsoft.com/office/officeart/2009/3/layout/HorizontalOrganizationChart"/>
    <dgm:cxn modelId="{BD0C6B8E-5F62-4DA9-B796-BD9E9F241BDC}" type="presParOf" srcId="{AE6CCA9B-1007-4A09-AEB4-3A77324B8312}" destId="{4F802054-7A2B-4A43-9C7B-0A415E167471}" srcOrd="1" destOrd="0" presId="urn:microsoft.com/office/officeart/2009/3/layout/HorizontalOrganizationChart"/>
    <dgm:cxn modelId="{7166EB91-A674-4ED2-933D-A2108F6B0211}" type="presParOf" srcId="{7038A946-BFA4-4B61-AEF8-C50F7BA4994A}" destId="{65A6909A-D8E3-46D9-8CFA-E95F2717A5DE}" srcOrd="1" destOrd="0" presId="urn:microsoft.com/office/officeart/2009/3/layout/HorizontalOrganizationChart"/>
    <dgm:cxn modelId="{BF564D67-5CDC-4CB5-A80D-35F2DD0E5BED}" type="presParOf" srcId="{65A6909A-D8E3-46D9-8CFA-E95F2717A5DE}" destId="{BB0A776C-DDD9-4D71-9584-833033B1C1CF}" srcOrd="0" destOrd="0" presId="urn:microsoft.com/office/officeart/2009/3/layout/HorizontalOrganizationChart"/>
    <dgm:cxn modelId="{9F986E56-F0B8-4451-A799-963AC721E7DE}" type="presParOf" srcId="{65A6909A-D8E3-46D9-8CFA-E95F2717A5DE}" destId="{60F1991A-3076-4F95-8883-BD7B0EF8AF63}" srcOrd="1" destOrd="0" presId="urn:microsoft.com/office/officeart/2009/3/layout/HorizontalOrganizationChart"/>
    <dgm:cxn modelId="{7230AC53-4E64-4F77-A4D5-D314BD6F64CF}" type="presParOf" srcId="{60F1991A-3076-4F95-8883-BD7B0EF8AF63}" destId="{1200E07E-F103-405E-9327-1A5FEA2108F0}" srcOrd="0" destOrd="0" presId="urn:microsoft.com/office/officeart/2009/3/layout/HorizontalOrganizationChart"/>
    <dgm:cxn modelId="{151CB4ED-8519-4984-A8AF-C5A63136A8C5}" type="presParOf" srcId="{1200E07E-F103-405E-9327-1A5FEA2108F0}" destId="{B96DA910-488E-4559-95DC-45877E2D8E31}" srcOrd="0" destOrd="0" presId="urn:microsoft.com/office/officeart/2009/3/layout/HorizontalOrganizationChart"/>
    <dgm:cxn modelId="{6DE24EB5-038F-4A20-ADBF-A48FC3026A01}" type="presParOf" srcId="{1200E07E-F103-405E-9327-1A5FEA2108F0}" destId="{3097C525-CCF1-4FC9-A832-CFE4135846CA}" srcOrd="1" destOrd="0" presId="urn:microsoft.com/office/officeart/2009/3/layout/HorizontalOrganizationChart"/>
    <dgm:cxn modelId="{7075BEFB-BEC3-4D05-B577-09ADC67F9817}" type="presParOf" srcId="{60F1991A-3076-4F95-8883-BD7B0EF8AF63}" destId="{0AE19814-39CC-4172-84D9-9EB6D41BBACA}" srcOrd="1" destOrd="0" presId="urn:microsoft.com/office/officeart/2009/3/layout/HorizontalOrganizationChart"/>
    <dgm:cxn modelId="{520FF8A7-7891-45D0-B83E-768C0F7E116B}" type="presParOf" srcId="{0AE19814-39CC-4172-84D9-9EB6D41BBACA}" destId="{6FAA766D-1069-48D5-8886-73774321701F}" srcOrd="0" destOrd="0" presId="urn:microsoft.com/office/officeart/2009/3/layout/HorizontalOrganizationChart"/>
    <dgm:cxn modelId="{8EB07944-32A5-4BCC-874F-C4BA9CE246BD}" type="presParOf" srcId="{0AE19814-39CC-4172-84D9-9EB6D41BBACA}" destId="{22571F20-CC9D-4CC8-A86E-DE124A416143}" srcOrd="1" destOrd="0" presId="urn:microsoft.com/office/officeart/2009/3/layout/HorizontalOrganizationChart"/>
    <dgm:cxn modelId="{424D01EA-7B20-43C4-83DE-2A9DE81C4F83}" type="presParOf" srcId="{22571F20-CC9D-4CC8-A86E-DE124A416143}" destId="{C576BC34-03B1-4D51-A2A5-236A440B8870}" srcOrd="0" destOrd="0" presId="urn:microsoft.com/office/officeart/2009/3/layout/HorizontalOrganizationChart"/>
    <dgm:cxn modelId="{2797938F-02F6-4F04-A2FF-F19F76697862}" type="presParOf" srcId="{C576BC34-03B1-4D51-A2A5-236A440B8870}" destId="{4051204D-ED08-4A63-9FDF-74EF78AC995C}" srcOrd="0" destOrd="0" presId="urn:microsoft.com/office/officeart/2009/3/layout/HorizontalOrganizationChart"/>
    <dgm:cxn modelId="{F345A5E7-F4D9-4700-B18B-66394B8707B2}" type="presParOf" srcId="{C576BC34-03B1-4D51-A2A5-236A440B8870}" destId="{09115F58-054C-40F7-822A-8F7353C1F9FA}" srcOrd="1" destOrd="0" presId="urn:microsoft.com/office/officeart/2009/3/layout/HorizontalOrganizationChart"/>
    <dgm:cxn modelId="{01576AA4-2E5E-463C-B406-FC18CBDCC2D3}" type="presParOf" srcId="{22571F20-CC9D-4CC8-A86E-DE124A416143}" destId="{BCC1C4EE-E6CD-44EA-BB4C-76E46D18A0AE}" srcOrd="1" destOrd="0" presId="urn:microsoft.com/office/officeart/2009/3/layout/HorizontalOrganizationChart"/>
    <dgm:cxn modelId="{20F3A4A2-D6E7-46D2-B07F-C5179FE28A8C}" type="presParOf" srcId="{BCC1C4EE-E6CD-44EA-BB4C-76E46D18A0AE}" destId="{5FC5C02D-3334-4CEC-806A-2B1FA05FB25A}" srcOrd="0" destOrd="0" presId="urn:microsoft.com/office/officeart/2009/3/layout/HorizontalOrganizationChart"/>
    <dgm:cxn modelId="{EE06FA51-2D86-4DF1-9C5C-19B1614560C3}" type="presParOf" srcId="{BCC1C4EE-E6CD-44EA-BB4C-76E46D18A0AE}" destId="{5E438E1B-7E35-43BE-9152-6D619D1DF467}" srcOrd="1" destOrd="0" presId="urn:microsoft.com/office/officeart/2009/3/layout/HorizontalOrganizationChart"/>
    <dgm:cxn modelId="{65B5A604-C6B0-4A61-8B7A-3A11BC805578}" type="presParOf" srcId="{5E438E1B-7E35-43BE-9152-6D619D1DF467}" destId="{4EDF4004-23D9-43D6-89E8-F1CDB9F3EC95}" srcOrd="0" destOrd="0" presId="urn:microsoft.com/office/officeart/2009/3/layout/HorizontalOrganizationChart"/>
    <dgm:cxn modelId="{3D7EEB96-EF30-4E35-AEDA-3B7328706FFB}" type="presParOf" srcId="{4EDF4004-23D9-43D6-89E8-F1CDB9F3EC95}" destId="{4AF76DF4-F471-4F75-8996-1FE55A25079E}" srcOrd="0" destOrd="0" presId="urn:microsoft.com/office/officeart/2009/3/layout/HorizontalOrganizationChart"/>
    <dgm:cxn modelId="{0F5CFFB2-C76F-46B0-9F2E-E01E21A52979}" type="presParOf" srcId="{4EDF4004-23D9-43D6-89E8-F1CDB9F3EC95}" destId="{EC41247D-D21D-4325-A9BD-88EB4BF943E9}" srcOrd="1" destOrd="0" presId="urn:microsoft.com/office/officeart/2009/3/layout/HorizontalOrganizationChart"/>
    <dgm:cxn modelId="{FB4D4232-AF10-4295-82B7-339247D6E71A}" type="presParOf" srcId="{5E438E1B-7E35-43BE-9152-6D619D1DF467}" destId="{3F7560E0-2B77-4F57-9005-16C894C48081}" srcOrd="1" destOrd="0" presId="urn:microsoft.com/office/officeart/2009/3/layout/HorizontalOrganizationChart"/>
    <dgm:cxn modelId="{F8F8CCCE-FF1D-4F73-A8B7-E8E20AC4E931}" type="presParOf" srcId="{5E438E1B-7E35-43BE-9152-6D619D1DF467}" destId="{52A80306-BD5F-48F3-AC92-7198B7BCC437}" srcOrd="2" destOrd="0" presId="urn:microsoft.com/office/officeart/2009/3/layout/HorizontalOrganizationChart"/>
    <dgm:cxn modelId="{DDE5F687-13B0-406A-92C6-ED1F102B2883}" type="presParOf" srcId="{BCC1C4EE-E6CD-44EA-BB4C-76E46D18A0AE}" destId="{3E61BD05-0697-468B-96A6-E3EC9BDD464B}" srcOrd="2" destOrd="0" presId="urn:microsoft.com/office/officeart/2009/3/layout/HorizontalOrganizationChart"/>
    <dgm:cxn modelId="{97126994-683F-4826-89CD-60F3E8D5576A}" type="presParOf" srcId="{BCC1C4EE-E6CD-44EA-BB4C-76E46D18A0AE}" destId="{ACBE97E2-DFE5-4875-89F0-51A9E265A77B}" srcOrd="3" destOrd="0" presId="urn:microsoft.com/office/officeart/2009/3/layout/HorizontalOrganizationChart"/>
    <dgm:cxn modelId="{1DCEC7DC-A0E9-42B0-AC0C-34225BC2FB4E}" type="presParOf" srcId="{ACBE97E2-DFE5-4875-89F0-51A9E265A77B}" destId="{A429165A-2D05-4E6B-BE8E-686C9A86C874}" srcOrd="0" destOrd="0" presId="urn:microsoft.com/office/officeart/2009/3/layout/HorizontalOrganizationChart"/>
    <dgm:cxn modelId="{2C451A31-7379-4DF2-822B-8DD7CC83AEBE}" type="presParOf" srcId="{A429165A-2D05-4E6B-BE8E-686C9A86C874}" destId="{624B3037-733F-4C78-A974-89E652B96481}" srcOrd="0" destOrd="0" presId="urn:microsoft.com/office/officeart/2009/3/layout/HorizontalOrganizationChart"/>
    <dgm:cxn modelId="{2B0F8259-9026-4E17-B795-84C0ADC0A40F}" type="presParOf" srcId="{A429165A-2D05-4E6B-BE8E-686C9A86C874}" destId="{AC024075-5915-48A3-9FF0-B90013FEEBE9}" srcOrd="1" destOrd="0" presId="urn:microsoft.com/office/officeart/2009/3/layout/HorizontalOrganizationChart"/>
    <dgm:cxn modelId="{6BB92FA6-7AAB-4779-BC1A-70FCE1BAE1E8}" type="presParOf" srcId="{ACBE97E2-DFE5-4875-89F0-51A9E265A77B}" destId="{86F72401-3483-407E-A645-07383B59D3FE}" srcOrd="1" destOrd="0" presId="urn:microsoft.com/office/officeart/2009/3/layout/HorizontalOrganizationChart"/>
    <dgm:cxn modelId="{BB64C60D-83BD-421A-B471-DBFC21305CE3}" type="presParOf" srcId="{ACBE97E2-DFE5-4875-89F0-51A9E265A77B}" destId="{471B26A5-C910-4517-B956-25A0DDDDD9D3}" srcOrd="2" destOrd="0" presId="urn:microsoft.com/office/officeart/2009/3/layout/HorizontalOrganizationChart"/>
    <dgm:cxn modelId="{9FBCC581-34E4-48BA-9704-978F7CADE97E}" type="presParOf" srcId="{22571F20-CC9D-4CC8-A86E-DE124A416143}" destId="{7AE85422-2E33-4A1B-A117-3DDFC5E827F9}" srcOrd="2" destOrd="0" presId="urn:microsoft.com/office/officeart/2009/3/layout/HorizontalOrganizationChart"/>
    <dgm:cxn modelId="{9054708B-131A-4ACA-8AF9-708141D27B1B}" type="presParOf" srcId="{0AE19814-39CC-4172-84D9-9EB6D41BBACA}" destId="{2EDAED41-7ABE-4235-834A-7D01F375B078}" srcOrd="2" destOrd="0" presId="urn:microsoft.com/office/officeart/2009/3/layout/HorizontalOrganizationChart"/>
    <dgm:cxn modelId="{8B065DDF-2BCC-4DE9-8DA4-88E5F68D8B81}" type="presParOf" srcId="{0AE19814-39CC-4172-84D9-9EB6D41BBACA}" destId="{4F1720B1-9AF7-4E01-A4A2-AC816D05FA56}" srcOrd="3" destOrd="0" presId="urn:microsoft.com/office/officeart/2009/3/layout/HorizontalOrganizationChart"/>
    <dgm:cxn modelId="{7952B538-55F8-4194-A488-E338CEC74F2E}" type="presParOf" srcId="{4F1720B1-9AF7-4E01-A4A2-AC816D05FA56}" destId="{0261E01A-AE2C-4FEB-9FE5-457725AEB2A0}" srcOrd="0" destOrd="0" presId="urn:microsoft.com/office/officeart/2009/3/layout/HorizontalOrganizationChart"/>
    <dgm:cxn modelId="{B6A19FD7-E52A-458F-9207-EBF2A3A40B3A}" type="presParOf" srcId="{0261E01A-AE2C-4FEB-9FE5-457725AEB2A0}" destId="{CB3B7B78-62E2-44F4-8E5B-105990A35E6C}" srcOrd="0" destOrd="0" presId="urn:microsoft.com/office/officeart/2009/3/layout/HorizontalOrganizationChart"/>
    <dgm:cxn modelId="{0C5C0E17-49A1-4732-8650-EF1CCB2C9A87}" type="presParOf" srcId="{0261E01A-AE2C-4FEB-9FE5-457725AEB2A0}" destId="{A45C841F-B4B2-475F-A97D-38867151C952}" srcOrd="1" destOrd="0" presId="urn:microsoft.com/office/officeart/2009/3/layout/HorizontalOrganizationChart"/>
    <dgm:cxn modelId="{711B77A5-D585-4C7B-A3D1-5F55D55F58A4}" type="presParOf" srcId="{4F1720B1-9AF7-4E01-A4A2-AC816D05FA56}" destId="{AA2C6FF7-EDDC-4DE7-87BB-F5E33D327509}" srcOrd="1" destOrd="0" presId="urn:microsoft.com/office/officeart/2009/3/layout/HorizontalOrganizationChart"/>
    <dgm:cxn modelId="{720D3A14-C020-4804-938A-AB9C2DE9B116}" type="presParOf" srcId="{4F1720B1-9AF7-4E01-A4A2-AC816D05FA56}" destId="{6B482B37-D4F8-4E92-B460-8514A99D93FE}" srcOrd="2" destOrd="0" presId="urn:microsoft.com/office/officeart/2009/3/layout/HorizontalOrganizationChart"/>
    <dgm:cxn modelId="{CDF19E5E-0173-4F6F-81E7-E78E84A2ED3D}" type="presParOf" srcId="{60F1991A-3076-4F95-8883-BD7B0EF8AF63}" destId="{D1160944-E589-4938-95F7-12D213444A00}" srcOrd="2" destOrd="0" presId="urn:microsoft.com/office/officeart/2009/3/layout/HorizontalOrganizationChart"/>
    <dgm:cxn modelId="{3E2AE80D-5576-41E1-8682-A7AB506F5A04}" type="presParOf" srcId="{7038A946-BFA4-4B61-AEF8-C50F7BA4994A}" destId="{8530B408-3781-47B5-8731-EC5CDCB15AD7}" srcOrd="2" destOrd="0" presId="urn:microsoft.com/office/officeart/2009/3/layout/HorizontalOrganizationChart"/>
    <dgm:cxn modelId="{5287329B-2950-4464-95AE-88678F05C039}" type="presParOf" srcId="{8530B408-3781-47B5-8731-EC5CDCB15AD7}" destId="{133D5AD9-BA6B-4D04-A402-87B6B35497AF}" srcOrd="0" destOrd="0" presId="urn:microsoft.com/office/officeart/2009/3/layout/HorizontalOrganizationChart"/>
    <dgm:cxn modelId="{908854CC-A2AF-4C6A-BFC2-BC888D43C45A}" type="presParOf" srcId="{8530B408-3781-47B5-8731-EC5CDCB15AD7}" destId="{04AABA26-0D77-4810-9F57-01B5240DA253}" srcOrd="1" destOrd="0" presId="urn:microsoft.com/office/officeart/2009/3/layout/HorizontalOrganizationChart"/>
    <dgm:cxn modelId="{44C63D6A-887E-4830-88E5-E0FB7E79AD45}" type="presParOf" srcId="{04AABA26-0D77-4810-9F57-01B5240DA253}" destId="{DA3F9F6F-FFA4-4D04-BF79-8932A4138B5D}" srcOrd="0" destOrd="0" presId="urn:microsoft.com/office/officeart/2009/3/layout/HorizontalOrganizationChart"/>
    <dgm:cxn modelId="{9B0BFCA7-7D2D-4AB1-BBFA-B39BB6B0BDF8}" type="presParOf" srcId="{DA3F9F6F-FFA4-4D04-BF79-8932A4138B5D}" destId="{4F02C783-D65A-4FBA-9BEA-634E4DD4F013}" srcOrd="0" destOrd="0" presId="urn:microsoft.com/office/officeart/2009/3/layout/HorizontalOrganizationChart"/>
    <dgm:cxn modelId="{27A9D1C2-9A03-450E-950F-D84090E8C9F6}" type="presParOf" srcId="{DA3F9F6F-FFA4-4D04-BF79-8932A4138B5D}" destId="{CF164EC6-15D6-41E5-B640-28118B0CFCA0}" srcOrd="1" destOrd="0" presId="urn:microsoft.com/office/officeart/2009/3/layout/HorizontalOrganizationChart"/>
    <dgm:cxn modelId="{7BA00EDD-F2BE-41F2-9526-1BE687944557}" type="presParOf" srcId="{04AABA26-0D77-4810-9F57-01B5240DA253}" destId="{9B2B0FE3-19EF-4DBF-ADB6-E8EA08EA6BC2}" srcOrd="1" destOrd="0" presId="urn:microsoft.com/office/officeart/2009/3/layout/HorizontalOrganizationChart"/>
    <dgm:cxn modelId="{A8110A87-21C2-4FB0-AE79-86CEF0DE3118}" type="presParOf" srcId="{04AABA26-0D77-4810-9F57-01B5240DA253}" destId="{381EC944-138E-4D18-B9EE-A02DA265A030}" srcOrd="2" destOrd="0" presId="urn:microsoft.com/office/officeart/2009/3/layout/HorizontalOrganizationChart"/>
  </dgm:cxnLst>
  <dgm:bg>
    <a:solidFill>
      <a:schemeClr val="accent2">
        <a:lumMod val="20000"/>
        <a:lumOff val="80000"/>
      </a:schemeClr>
    </a:solid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3D5AD9-BA6B-4D04-A402-87B6B35497AF}">
      <dsp:nvSpPr>
        <dsp:cNvPr id="0" name=""/>
        <dsp:cNvSpPr/>
      </dsp:nvSpPr>
      <dsp:spPr>
        <a:xfrm>
          <a:off x="929057" y="1259166"/>
          <a:ext cx="624950" cy="131122"/>
        </a:xfrm>
        <a:custGeom>
          <a:avLst/>
          <a:gdLst/>
          <a:ahLst/>
          <a:cxnLst/>
          <a:rect l="0" t="0" r="0" b="0"/>
          <a:pathLst>
            <a:path>
              <a:moveTo>
                <a:pt x="0" y="0"/>
              </a:moveTo>
              <a:lnTo>
                <a:pt x="624950" y="0"/>
              </a:lnTo>
              <a:lnTo>
                <a:pt x="624950" y="1311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AED41-7ABE-4235-834A-7D01F375B078}">
      <dsp:nvSpPr>
        <dsp:cNvPr id="0" name=""/>
        <dsp:cNvSpPr/>
      </dsp:nvSpPr>
      <dsp:spPr>
        <a:xfrm>
          <a:off x="2117799" y="911203"/>
          <a:ext cx="187882" cy="247501"/>
        </a:xfrm>
        <a:custGeom>
          <a:avLst/>
          <a:gdLst/>
          <a:ahLst/>
          <a:cxnLst/>
          <a:rect l="0" t="0" r="0" b="0"/>
          <a:pathLst>
            <a:path>
              <a:moveTo>
                <a:pt x="0" y="0"/>
              </a:moveTo>
              <a:lnTo>
                <a:pt x="107311" y="0"/>
              </a:lnTo>
              <a:lnTo>
                <a:pt x="107311" y="247501"/>
              </a:lnTo>
              <a:lnTo>
                <a:pt x="187882" y="2475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61BD05-0697-468B-96A6-E3EC9BDD464B}">
      <dsp:nvSpPr>
        <dsp:cNvPr id="0" name=""/>
        <dsp:cNvSpPr/>
      </dsp:nvSpPr>
      <dsp:spPr>
        <a:xfrm>
          <a:off x="3111660" y="551122"/>
          <a:ext cx="260838" cy="194849"/>
        </a:xfrm>
        <a:custGeom>
          <a:avLst/>
          <a:gdLst/>
          <a:ahLst/>
          <a:cxnLst/>
          <a:rect l="0" t="0" r="0" b="0"/>
          <a:pathLst>
            <a:path>
              <a:moveTo>
                <a:pt x="0" y="0"/>
              </a:moveTo>
              <a:lnTo>
                <a:pt x="180268" y="0"/>
              </a:lnTo>
              <a:lnTo>
                <a:pt x="180268" y="194849"/>
              </a:lnTo>
              <a:lnTo>
                <a:pt x="260838" y="1948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C5C02D-3334-4CEC-806A-2B1FA05FB25A}">
      <dsp:nvSpPr>
        <dsp:cNvPr id="0" name=""/>
        <dsp:cNvSpPr/>
      </dsp:nvSpPr>
      <dsp:spPr>
        <a:xfrm>
          <a:off x="3111660" y="285141"/>
          <a:ext cx="264029" cy="265980"/>
        </a:xfrm>
        <a:custGeom>
          <a:avLst/>
          <a:gdLst/>
          <a:ahLst/>
          <a:cxnLst/>
          <a:rect l="0" t="0" r="0" b="0"/>
          <a:pathLst>
            <a:path>
              <a:moveTo>
                <a:pt x="0" y="265980"/>
              </a:moveTo>
              <a:lnTo>
                <a:pt x="183458" y="265980"/>
              </a:lnTo>
              <a:lnTo>
                <a:pt x="183458" y="0"/>
              </a:lnTo>
              <a:lnTo>
                <a:pt x="26402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A766D-1069-48D5-8886-73774321701F}">
      <dsp:nvSpPr>
        <dsp:cNvPr id="0" name=""/>
        <dsp:cNvSpPr/>
      </dsp:nvSpPr>
      <dsp:spPr>
        <a:xfrm>
          <a:off x="2117799" y="551122"/>
          <a:ext cx="188156" cy="360080"/>
        </a:xfrm>
        <a:custGeom>
          <a:avLst/>
          <a:gdLst/>
          <a:ahLst/>
          <a:cxnLst/>
          <a:rect l="0" t="0" r="0" b="0"/>
          <a:pathLst>
            <a:path>
              <a:moveTo>
                <a:pt x="0" y="360080"/>
              </a:moveTo>
              <a:lnTo>
                <a:pt x="107585" y="360080"/>
              </a:lnTo>
              <a:lnTo>
                <a:pt x="107585" y="0"/>
              </a:lnTo>
              <a:lnTo>
                <a:pt x="188156"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0A776C-DDD9-4D71-9584-833033B1C1CF}">
      <dsp:nvSpPr>
        <dsp:cNvPr id="0" name=""/>
        <dsp:cNvSpPr/>
      </dsp:nvSpPr>
      <dsp:spPr>
        <a:xfrm>
          <a:off x="929057" y="911203"/>
          <a:ext cx="207459" cy="347962"/>
        </a:xfrm>
        <a:custGeom>
          <a:avLst/>
          <a:gdLst/>
          <a:ahLst/>
          <a:cxnLst/>
          <a:rect l="0" t="0" r="0" b="0"/>
          <a:pathLst>
            <a:path>
              <a:moveTo>
                <a:pt x="0" y="347962"/>
              </a:moveTo>
              <a:lnTo>
                <a:pt x="126888" y="347962"/>
              </a:lnTo>
              <a:lnTo>
                <a:pt x="126888" y="0"/>
              </a:lnTo>
              <a:lnTo>
                <a:pt x="20745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909BCF-3FD5-4487-8E0B-7FAFEF631641}">
      <dsp:nvSpPr>
        <dsp:cNvPr id="0" name=""/>
        <dsp:cNvSpPr/>
      </dsp:nvSpPr>
      <dsp:spPr>
        <a:xfrm>
          <a:off x="0" y="1098373"/>
          <a:ext cx="929057" cy="321584"/>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100%</a:t>
          </a:r>
        </a:p>
        <a:p>
          <a:pPr marL="0" lvl="0" indent="0" algn="ctr" defTabSz="355600">
            <a:lnSpc>
              <a:spcPct val="90000"/>
            </a:lnSpc>
            <a:spcBef>
              <a:spcPct val="0"/>
            </a:spcBef>
            <a:spcAft>
              <a:spcPct val="35000"/>
            </a:spcAft>
            <a:buNone/>
          </a:pPr>
          <a:r>
            <a:rPr lang="de-DE" sz="800" kern="1200">
              <a:solidFill>
                <a:sysClr val="windowText" lastClr="000000"/>
              </a:solidFill>
            </a:rPr>
            <a:t>Investitionen</a:t>
          </a:r>
        </a:p>
      </dsp:txBody>
      <dsp:txXfrm>
        <a:off x="0" y="1098373"/>
        <a:ext cx="929057" cy="321584"/>
      </dsp:txXfrm>
    </dsp:sp>
    <dsp:sp modelId="{B96DA910-488E-4559-95DC-45877E2D8E31}">
      <dsp:nvSpPr>
        <dsp:cNvPr id="0" name=""/>
        <dsp:cNvSpPr/>
      </dsp:nvSpPr>
      <dsp:spPr>
        <a:xfrm>
          <a:off x="1136516" y="643211"/>
          <a:ext cx="981283" cy="535982"/>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92,37%</a:t>
          </a:r>
        </a:p>
        <a:p>
          <a:pPr marL="0" lvl="0" indent="0" algn="ctr" defTabSz="355600">
            <a:lnSpc>
              <a:spcPct val="90000"/>
            </a:lnSpc>
            <a:spcBef>
              <a:spcPct val="0"/>
            </a:spcBef>
            <a:spcAft>
              <a:spcPct val="35000"/>
            </a:spcAft>
            <a:buNone/>
          </a:pPr>
          <a:r>
            <a:rPr lang="de-DE" sz="800" kern="1200">
              <a:solidFill>
                <a:sysClr val="windowText" lastClr="000000"/>
              </a:solidFill>
            </a:rPr>
            <a:t>#1 Ausgerichtet auf ökologische /soziale Merkmale</a:t>
          </a:r>
          <a:endParaRPr lang="de-DE" sz="800" kern="1200">
            <a:solidFill>
              <a:schemeClr val="tx1"/>
            </a:solidFill>
          </a:endParaRPr>
        </a:p>
      </dsp:txBody>
      <dsp:txXfrm>
        <a:off x="1136516" y="643211"/>
        <a:ext cx="981283" cy="535982"/>
      </dsp:txXfrm>
    </dsp:sp>
    <dsp:sp modelId="{4051204D-ED08-4A63-9FDF-74EF78AC995C}">
      <dsp:nvSpPr>
        <dsp:cNvPr id="0" name=""/>
        <dsp:cNvSpPr/>
      </dsp:nvSpPr>
      <dsp:spPr>
        <a:xfrm>
          <a:off x="2305955" y="353899"/>
          <a:ext cx="805704" cy="39444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45,33%</a:t>
          </a:r>
        </a:p>
        <a:p>
          <a:pPr marL="0" lvl="0" indent="0" algn="ctr" defTabSz="355600">
            <a:lnSpc>
              <a:spcPct val="90000"/>
            </a:lnSpc>
            <a:spcBef>
              <a:spcPct val="0"/>
            </a:spcBef>
            <a:spcAft>
              <a:spcPct val="35000"/>
            </a:spcAft>
            <a:buNone/>
          </a:pPr>
          <a:r>
            <a:rPr lang="de-DE" sz="800" kern="1200">
              <a:solidFill>
                <a:sysClr val="windowText" lastClr="000000"/>
              </a:solidFill>
            </a:rPr>
            <a:t>#1A Nachhaltig</a:t>
          </a:r>
        </a:p>
      </dsp:txBody>
      <dsp:txXfrm>
        <a:off x="2305955" y="353899"/>
        <a:ext cx="805704" cy="394446"/>
      </dsp:txXfrm>
    </dsp:sp>
    <dsp:sp modelId="{4AF76DF4-F471-4F75-8996-1FE55A25079E}">
      <dsp:nvSpPr>
        <dsp:cNvPr id="0" name=""/>
        <dsp:cNvSpPr/>
      </dsp:nvSpPr>
      <dsp:spPr>
        <a:xfrm>
          <a:off x="3375689" y="83495"/>
          <a:ext cx="805704" cy="40329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Andere ökologische</a:t>
          </a:r>
        </a:p>
      </dsp:txBody>
      <dsp:txXfrm>
        <a:off x="3375689" y="83495"/>
        <a:ext cx="805704" cy="403293"/>
      </dsp:txXfrm>
    </dsp:sp>
    <dsp:sp modelId="{624B3037-733F-4C78-A974-89E652B96481}">
      <dsp:nvSpPr>
        <dsp:cNvPr id="0" name=""/>
        <dsp:cNvSpPr/>
      </dsp:nvSpPr>
      <dsp:spPr>
        <a:xfrm>
          <a:off x="3372498" y="547789"/>
          <a:ext cx="805704" cy="396363"/>
        </a:xfrm>
        <a:prstGeom prst="rect">
          <a:avLst/>
        </a:prstGeom>
        <a:solidFill>
          <a:srgbClr val="5B9BD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Soziale</a:t>
          </a:r>
        </a:p>
      </dsp:txBody>
      <dsp:txXfrm>
        <a:off x="3372498" y="547789"/>
        <a:ext cx="805704" cy="396363"/>
      </dsp:txXfrm>
    </dsp:sp>
    <dsp:sp modelId="{CB3B7B78-62E2-44F4-8E5B-105990A35E6C}">
      <dsp:nvSpPr>
        <dsp:cNvPr id="0" name=""/>
        <dsp:cNvSpPr/>
      </dsp:nvSpPr>
      <dsp:spPr>
        <a:xfrm>
          <a:off x="2305681" y="863891"/>
          <a:ext cx="805704" cy="589625"/>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47,04%</a:t>
          </a:r>
        </a:p>
        <a:p>
          <a:pPr marL="0" lvl="0" indent="0" algn="ctr" defTabSz="355600">
            <a:lnSpc>
              <a:spcPct val="90000"/>
            </a:lnSpc>
            <a:spcBef>
              <a:spcPct val="0"/>
            </a:spcBef>
            <a:spcAft>
              <a:spcPct val="35000"/>
            </a:spcAft>
            <a:buNone/>
          </a:pPr>
          <a:r>
            <a:rPr lang="de-DE" sz="800" kern="1200">
              <a:solidFill>
                <a:sysClr val="windowText" lastClr="000000"/>
              </a:solidFill>
            </a:rPr>
            <a:t>#1B Andere ökologische /soziale Merkmale</a:t>
          </a:r>
        </a:p>
      </dsp:txBody>
      <dsp:txXfrm>
        <a:off x="2305681" y="863891"/>
        <a:ext cx="805704" cy="589625"/>
      </dsp:txXfrm>
    </dsp:sp>
    <dsp:sp modelId="{4F02C783-D65A-4FBA-9BEA-634E4DD4F013}">
      <dsp:nvSpPr>
        <dsp:cNvPr id="0" name=""/>
        <dsp:cNvSpPr/>
      </dsp:nvSpPr>
      <dsp:spPr>
        <a:xfrm>
          <a:off x="1058137" y="1390288"/>
          <a:ext cx="991741" cy="367498"/>
        </a:xfrm>
        <a:prstGeom prst="rect">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de-DE" sz="800" kern="1200">
              <a:solidFill>
                <a:sysClr val="windowText" lastClr="000000"/>
              </a:solidFill>
            </a:rPr>
            <a:t>7,63%</a:t>
          </a:r>
        </a:p>
        <a:p>
          <a:pPr marL="0" lvl="0" indent="0" algn="ctr" defTabSz="355600">
            <a:lnSpc>
              <a:spcPct val="90000"/>
            </a:lnSpc>
            <a:spcBef>
              <a:spcPct val="0"/>
            </a:spcBef>
            <a:spcAft>
              <a:spcPct val="35000"/>
            </a:spcAft>
            <a:buNone/>
          </a:pPr>
          <a:r>
            <a:rPr lang="de-DE" sz="800" kern="1200">
              <a:solidFill>
                <a:sysClr val="windowText" lastClr="000000"/>
              </a:solidFill>
            </a:rPr>
            <a:t>#2 Andere</a:t>
          </a:r>
        </a:p>
      </dsp:txBody>
      <dsp:txXfrm>
        <a:off x="1058137" y="1390288"/>
        <a:ext cx="991741" cy="36749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DCC7F-DF20-44CD-88C9-A645C652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3574</Words>
  <Characters>26114</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Beilagen-Generator</vt:lpstr>
    </vt:vector>
  </TitlesOfParts>
  <Company>VKB</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Beilagen-Generator</dc:title>
  <dc:subject>Version 4.1.14    07.12.2012</dc:subject>
  <dc:creator>Katja Seyfferth</dc:creator>
  <cp:keywords/>
  <dc:description/>
  <cp:lastModifiedBy>Sabrina Walchner</cp:lastModifiedBy>
  <cp:revision>19</cp:revision>
  <cp:lastPrinted>2024-06-03T11:45:00Z</cp:lastPrinted>
  <dcterms:created xsi:type="dcterms:W3CDTF">2024-05-03T11:12:00Z</dcterms:created>
  <dcterms:modified xsi:type="dcterms:W3CDTF">2025-03-20T09:09:00Z</dcterms:modified>
</cp:coreProperties>
</file>